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63" w:rsidRDefault="006B2263" w:rsidP="004638DF">
      <w:pPr>
        <w:tabs>
          <w:tab w:val="left" w:pos="851"/>
          <w:tab w:val="left" w:pos="8931"/>
          <w:tab w:val="left" w:pos="9214"/>
        </w:tabs>
        <w:spacing w:before="120" w:line="480" w:lineRule="auto"/>
        <w:ind w:right="-284"/>
        <w:rPr>
          <w:bCs/>
          <w:sz w:val="18"/>
          <w:szCs w:val="18"/>
        </w:rPr>
      </w:pPr>
      <w:r>
        <w:rPr>
          <w:bCs/>
          <w:noProof/>
          <w:sz w:val="18"/>
          <w:szCs w:val="18"/>
          <w:lang w:val="en-US" w:eastAsia="en-US"/>
        </w:rPr>
        <w:drawing>
          <wp:anchor distT="0" distB="0" distL="114300" distR="114300" simplePos="0" relativeHeight="251658240" behindDoc="0" locked="0" layoutInCell="1" allowOverlap="1">
            <wp:simplePos x="0" y="0"/>
            <wp:positionH relativeFrom="margin">
              <wp:align>center</wp:align>
            </wp:positionH>
            <wp:positionV relativeFrom="paragraph">
              <wp:posOffset>85725</wp:posOffset>
            </wp:positionV>
            <wp:extent cx="981075" cy="981075"/>
            <wp:effectExtent l="19050" t="0" r="9525" b="0"/>
            <wp:wrapSquare wrapText="lef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rsidR="006B2263" w:rsidRDefault="006B2263" w:rsidP="006B2263"/>
    <w:p w:rsidR="006B2263" w:rsidRDefault="006B2263" w:rsidP="006B2263"/>
    <w:p w:rsidR="006B2263" w:rsidRPr="00FA372C" w:rsidRDefault="006B2263" w:rsidP="006B2263">
      <w:pPr>
        <w:ind w:right="143" w:firstLine="1134"/>
        <w:jc w:val="center"/>
        <w:rPr>
          <w:sz w:val="2"/>
          <w:szCs w:val="2"/>
        </w:rPr>
      </w:pPr>
    </w:p>
    <w:p w:rsidR="006B2263" w:rsidRDefault="006B2263" w:rsidP="006B2263">
      <w:pPr>
        <w:pStyle w:val="Titre1"/>
        <w:ind w:left="0" w:right="-285" w:firstLine="0"/>
        <w:jc w:val="center"/>
        <w:rPr>
          <w:b/>
          <w:bCs/>
          <w:sz w:val="30"/>
          <w:szCs w:val="30"/>
        </w:rPr>
      </w:pPr>
    </w:p>
    <w:p w:rsidR="006B2263" w:rsidRPr="00C11ED6" w:rsidRDefault="006B2263" w:rsidP="006B2263">
      <w:pPr>
        <w:pStyle w:val="Titre1"/>
        <w:ind w:left="0" w:right="-285" w:firstLine="0"/>
        <w:jc w:val="center"/>
        <w:rPr>
          <w:b/>
          <w:bCs/>
          <w:sz w:val="8"/>
          <w:szCs w:val="8"/>
        </w:rPr>
      </w:pPr>
    </w:p>
    <w:p w:rsidR="006B2263" w:rsidRPr="00FA6879" w:rsidRDefault="006B2263" w:rsidP="006B2263">
      <w:pPr>
        <w:pStyle w:val="Titre1"/>
        <w:ind w:left="0" w:right="-285" w:firstLine="0"/>
        <w:jc w:val="center"/>
        <w:rPr>
          <w:b/>
          <w:bCs/>
          <w:sz w:val="30"/>
          <w:szCs w:val="30"/>
        </w:rPr>
      </w:pPr>
      <w:r w:rsidRPr="00FA6879">
        <w:rPr>
          <w:b/>
          <w:bCs/>
          <w:sz w:val="30"/>
          <w:szCs w:val="30"/>
        </w:rPr>
        <w:t xml:space="preserve">AVIS  </w:t>
      </w:r>
      <w:r>
        <w:rPr>
          <w:b/>
          <w:bCs/>
          <w:sz w:val="30"/>
          <w:szCs w:val="30"/>
        </w:rPr>
        <w:t>DE CONSULTATION</w:t>
      </w:r>
    </w:p>
    <w:p w:rsidR="006B2263" w:rsidRPr="00FA6879" w:rsidRDefault="00C11ED6" w:rsidP="00F963CD">
      <w:pPr>
        <w:pStyle w:val="Titre1"/>
        <w:ind w:right="-285"/>
        <w:rPr>
          <w:b/>
          <w:bCs/>
          <w:sz w:val="30"/>
          <w:szCs w:val="30"/>
        </w:rPr>
      </w:pPr>
      <w:r>
        <w:rPr>
          <w:b/>
          <w:bCs/>
          <w:sz w:val="30"/>
          <w:szCs w:val="30"/>
        </w:rPr>
        <w:t xml:space="preserve">                                      </w:t>
      </w:r>
      <w:r w:rsidR="006B2263" w:rsidRPr="00FA6879">
        <w:rPr>
          <w:b/>
          <w:bCs/>
          <w:sz w:val="30"/>
          <w:szCs w:val="30"/>
        </w:rPr>
        <w:t xml:space="preserve">N° </w:t>
      </w:r>
      <w:r w:rsidR="00F963CD">
        <w:rPr>
          <w:b/>
          <w:bCs/>
          <w:sz w:val="30"/>
          <w:szCs w:val="30"/>
        </w:rPr>
        <w:t>14</w:t>
      </w:r>
      <w:r w:rsidR="006B2263" w:rsidRPr="00FA6879">
        <w:rPr>
          <w:b/>
          <w:bCs/>
          <w:sz w:val="30"/>
          <w:szCs w:val="30"/>
        </w:rPr>
        <w:t>/</w:t>
      </w:r>
      <w:r>
        <w:rPr>
          <w:b/>
          <w:bCs/>
          <w:sz w:val="30"/>
          <w:szCs w:val="30"/>
        </w:rPr>
        <w:t>2022</w:t>
      </w:r>
    </w:p>
    <w:p w:rsidR="006B2263" w:rsidRPr="00FA6879" w:rsidRDefault="006B2263" w:rsidP="006B2263">
      <w:pPr>
        <w:tabs>
          <w:tab w:val="left" w:pos="3780"/>
        </w:tabs>
        <w:jc w:val="center"/>
        <w:rPr>
          <w:b/>
          <w:bCs/>
          <w:sz w:val="24"/>
          <w:szCs w:val="24"/>
        </w:rPr>
      </w:pPr>
      <w:r w:rsidRPr="00FA6879">
        <w:rPr>
          <w:b/>
          <w:bCs/>
          <w:sz w:val="24"/>
          <w:szCs w:val="24"/>
        </w:rPr>
        <w:t>« Choix d’un journal quotidien pour l’insertion des avis d’appel d’offres »</w:t>
      </w:r>
    </w:p>
    <w:p w:rsidR="006B2263" w:rsidRPr="00FA6879" w:rsidRDefault="006B2263" w:rsidP="006B2263">
      <w:pPr>
        <w:tabs>
          <w:tab w:val="left" w:pos="8090"/>
        </w:tabs>
        <w:ind w:right="-285"/>
        <w:rPr>
          <w:sz w:val="24"/>
          <w:szCs w:val="24"/>
        </w:rPr>
      </w:pPr>
      <w:r w:rsidRPr="00FA6879">
        <w:rPr>
          <w:sz w:val="24"/>
          <w:szCs w:val="24"/>
        </w:rPr>
        <w:tab/>
      </w:r>
    </w:p>
    <w:p w:rsidR="006B2263" w:rsidRPr="00CC25C2" w:rsidRDefault="006B2263" w:rsidP="006B2263">
      <w:pPr>
        <w:ind w:right="-2" w:firstLine="1077"/>
        <w:jc w:val="both"/>
        <w:rPr>
          <w:sz w:val="24"/>
          <w:szCs w:val="24"/>
        </w:rPr>
      </w:pPr>
      <w:r w:rsidRPr="0048521A">
        <w:rPr>
          <w:sz w:val="24"/>
          <w:szCs w:val="24"/>
        </w:rPr>
        <w:t xml:space="preserve">La société les CIMENTS DE BIZERTE se propose de lancer </w:t>
      </w:r>
      <w:r>
        <w:rPr>
          <w:sz w:val="24"/>
          <w:szCs w:val="24"/>
        </w:rPr>
        <w:t>une consultation</w:t>
      </w:r>
      <w:r w:rsidRPr="0048521A">
        <w:rPr>
          <w:sz w:val="24"/>
          <w:szCs w:val="24"/>
        </w:rPr>
        <w:t xml:space="preserve"> pour </w:t>
      </w:r>
      <w:r w:rsidRPr="00CC25C2">
        <w:rPr>
          <w:sz w:val="24"/>
          <w:szCs w:val="24"/>
        </w:rPr>
        <w:t>l’établis</w:t>
      </w:r>
      <w:r>
        <w:rPr>
          <w:sz w:val="24"/>
          <w:szCs w:val="24"/>
        </w:rPr>
        <w:t>sement d’un marché cadre renouve</w:t>
      </w:r>
      <w:r w:rsidRPr="00CC25C2">
        <w:rPr>
          <w:sz w:val="24"/>
          <w:szCs w:val="24"/>
        </w:rPr>
        <w:t xml:space="preserve">lable par tacite reconduction une seule fois pour le choix d’un journal quotidien en </w:t>
      </w:r>
      <w:r>
        <w:rPr>
          <w:sz w:val="24"/>
          <w:szCs w:val="24"/>
        </w:rPr>
        <w:t xml:space="preserve">langue </w:t>
      </w:r>
      <w:r w:rsidRPr="00CC25C2">
        <w:rPr>
          <w:sz w:val="24"/>
          <w:szCs w:val="24"/>
        </w:rPr>
        <w:t>français</w:t>
      </w:r>
      <w:r>
        <w:rPr>
          <w:sz w:val="24"/>
          <w:szCs w:val="24"/>
        </w:rPr>
        <w:t>e</w:t>
      </w:r>
      <w:r w:rsidRPr="00CC25C2">
        <w:rPr>
          <w:sz w:val="24"/>
          <w:szCs w:val="24"/>
        </w:rPr>
        <w:t xml:space="preserve"> et  d’un journal quotidien en </w:t>
      </w:r>
      <w:r>
        <w:rPr>
          <w:sz w:val="24"/>
          <w:szCs w:val="24"/>
        </w:rPr>
        <w:t xml:space="preserve">langue </w:t>
      </w:r>
      <w:r w:rsidRPr="00CC25C2">
        <w:rPr>
          <w:sz w:val="24"/>
          <w:szCs w:val="24"/>
        </w:rPr>
        <w:t xml:space="preserve">arabe pour l’insertion des avis d’appels d’offres des marchés et autres de la société LES CIMENTS DE BIZERTE. </w:t>
      </w:r>
    </w:p>
    <w:p w:rsidR="006B2263" w:rsidRPr="00CC25C2" w:rsidRDefault="006B2263" w:rsidP="006B2263">
      <w:pPr>
        <w:tabs>
          <w:tab w:val="left" w:pos="9620"/>
        </w:tabs>
        <w:ind w:right="-2" w:firstLine="1077"/>
        <w:jc w:val="both"/>
        <w:rPr>
          <w:sz w:val="24"/>
          <w:szCs w:val="24"/>
        </w:rPr>
      </w:pPr>
      <w:r w:rsidRPr="00CC25C2">
        <w:rPr>
          <w:sz w:val="24"/>
          <w:szCs w:val="24"/>
        </w:rPr>
        <w:t>Le marché est scindé en deux lots :</w:t>
      </w:r>
      <w:r w:rsidRPr="00CC25C2">
        <w:rPr>
          <w:sz w:val="24"/>
          <w:szCs w:val="24"/>
        </w:rPr>
        <w:tab/>
      </w:r>
    </w:p>
    <w:p w:rsidR="006B2263" w:rsidRPr="00CC25C2" w:rsidRDefault="006B2263" w:rsidP="006B2263">
      <w:pPr>
        <w:numPr>
          <w:ilvl w:val="0"/>
          <w:numId w:val="1"/>
        </w:numPr>
        <w:ind w:right="-2"/>
        <w:jc w:val="both"/>
        <w:rPr>
          <w:sz w:val="24"/>
          <w:szCs w:val="24"/>
        </w:rPr>
      </w:pPr>
      <w:r w:rsidRPr="00CC25C2">
        <w:rPr>
          <w:sz w:val="24"/>
          <w:szCs w:val="24"/>
        </w:rPr>
        <w:t>Lot N°1 : Journal en langue française</w:t>
      </w:r>
    </w:p>
    <w:p w:rsidR="006B2263" w:rsidRPr="00CC25C2" w:rsidRDefault="006B2263" w:rsidP="006B2263">
      <w:pPr>
        <w:numPr>
          <w:ilvl w:val="0"/>
          <w:numId w:val="1"/>
        </w:numPr>
        <w:ind w:right="-2"/>
        <w:jc w:val="both"/>
        <w:rPr>
          <w:sz w:val="24"/>
          <w:szCs w:val="24"/>
        </w:rPr>
      </w:pPr>
      <w:r w:rsidRPr="00CC25C2">
        <w:rPr>
          <w:sz w:val="24"/>
          <w:szCs w:val="24"/>
        </w:rPr>
        <w:t>Lot N°2 : Journal en langue arabe</w:t>
      </w:r>
    </w:p>
    <w:p w:rsidR="006B2263" w:rsidRPr="00CC25C2" w:rsidRDefault="006B2263" w:rsidP="006B2263">
      <w:pPr>
        <w:tabs>
          <w:tab w:val="left" w:pos="9090"/>
        </w:tabs>
        <w:ind w:right="358" w:firstLine="1134"/>
        <w:jc w:val="both"/>
        <w:rPr>
          <w:sz w:val="24"/>
          <w:szCs w:val="24"/>
        </w:rPr>
      </w:pPr>
      <w:r w:rsidRPr="00CC25C2">
        <w:rPr>
          <w:sz w:val="24"/>
          <w:szCs w:val="24"/>
        </w:rPr>
        <w:t>Les quantités MINIMALES et MAXIMALES sont fixées comme suit :</w:t>
      </w:r>
      <w:r w:rsidRPr="00CC25C2">
        <w:rPr>
          <w:sz w:val="24"/>
          <w:szCs w:val="24"/>
        </w:rPr>
        <w:tab/>
      </w:r>
    </w:p>
    <w:p w:rsidR="006B2263" w:rsidRPr="00CC25C2" w:rsidRDefault="006B2263" w:rsidP="006B2263">
      <w:pPr>
        <w:tabs>
          <w:tab w:val="right" w:pos="10080"/>
        </w:tabs>
        <w:ind w:right="358" w:firstLine="1134"/>
        <w:jc w:val="both"/>
        <w:rPr>
          <w:sz w:val="24"/>
          <w:szCs w:val="24"/>
        </w:rPr>
      </w:pPr>
      <w:r w:rsidRPr="00CC25C2">
        <w:rPr>
          <w:sz w:val="24"/>
          <w:szCs w:val="24"/>
        </w:rPr>
        <w:tab/>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27"/>
        <w:gridCol w:w="1291"/>
        <w:gridCol w:w="1292"/>
        <w:gridCol w:w="1756"/>
        <w:gridCol w:w="1756"/>
      </w:tblGrid>
      <w:tr w:rsidR="006B2263" w:rsidRPr="00216071" w:rsidTr="00295076">
        <w:trPr>
          <w:cantSplit/>
        </w:trPr>
        <w:tc>
          <w:tcPr>
            <w:tcW w:w="2827" w:type="dxa"/>
          </w:tcPr>
          <w:p w:rsidR="006B2263" w:rsidRPr="00FE5A33" w:rsidRDefault="006B2263" w:rsidP="00033E97">
            <w:pPr>
              <w:ind w:right="-1"/>
              <w:rPr>
                <w:b/>
                <w:bCs/>
                <w:sz w:val="28"/>
              </w:rPr>
            </w:pPr>
            <w:r>
              <w:rPr>
                <w:b/>
                <w:bCs/>
                <w:sz w:val="28"/>
              </w:rPr>
              <w:t xml:space="preserve">           </w:t>
            </w:r>
            <w:r w:rsidRPr="00FE5A33">
              <w:rPr>
                <w:b/>
                <w:bCs/>
                <w:sz w:val="28"/>
              </w:rPr>
              <w:t>Quantités</w:t>
            </w:r>
          </w:p>
        </w:tc>
        <w:tc>
          <w:tcPr>
            <w:tcW w:w="2583" w:type="dxa"/>
            <w:gridSpan w:val="2"/>
          </w:tcPr>
          <w:p w:rsidR="006B2263" w:rsidRPr="00216071" w:rsidRDefault="006B2263" w:rsidP="009202D5">
            <w:pPr>
              <w:ind w:right="-1"/>
              <w:jc w:val="center"/>
              <w:rPr>
                <w:b/>
                <w:bCs/>
                <w:sz w:val="28"/>
              </w:rPr>
            </w:pPr>
            <w:r>
              <w:rPr>
                <w:b/>
                <w:bCs/>
                <w:sz w:val="28"/>
              </w:rPr>
              <w:t>P</w:t>
            </w:r>
            <w:r w:rsidRPr="00216071">
              <w:rPr>
                <w:b/>
                <w:bCs/>
                <w:sz w:val="28"/>
              </w:rPr>
              <w:t xml:space="preserve">our </w:t>
            </w:r>
            <w:r w:rsidR="009202D5">
              <w:rPr>
                <w:b/>
                <w:bCs/>
                <w:sz w:val="28"/>
              </w:rPr>
              <w:t>la 1</w:t>
            </w:r>
            <w:r w:rsidR="009202D5" w:rsidRPr="009202D5">
              <w:rPr>
                <w:b/>
                <w:bCs/>
                <w:sz w:val="28"/>
                <w:vertAlign w:val="superscript"/>
              </w:rPr>
              <w:t>ère</w:t>
            </w:r>
            <w:r w:rsidR="009202D5">
              <w:rPr>
                <w:b/>
                <w:bCs/>
                <w:sz w:val="28"/>
              </w:rPr>
              <w:t xml:space="preserve"> année</w:t>
            </w:r>
          </w:p>
        </w:tc>
        <w:tc>
          <w:tcPr>
            <w:tcW w:w="3512" w:type="dxa"/>
            <w:gridSpan w:val="2"/>
          </w:tcPr>
          <w:p w:rsidR="006B2263" w:rsidRPr="00216071" w:rsidRDefault="006B2263" w:rsidP="009202D5">
            <w:pPr>
              <w:ind w:right="-1"/>
              <w:jc w:val="center"/>
              <w:rPr>
                <w:b/>
                <w:bCs/>
                <w:sz w:val="28"/>
              </w:rPr>
            </w:pPr>
            <w:r>
              <w:rPr>
                <w:b/>
                <w:bCs/>
                <w:sz w:val="28"/>
              </w:rPr>
              <w:t>P</w:t>
            </w:r>
            <w:r w:rsidRPr="00216071">
              <w:rPr>
                <w:b/>
                <w:bCs/>
                <w:sz w:val="28"/>
              </w:rPr>
              <w:t xml:space="preserve">our </w:t>
            </w:r>
            <w:r w:rsidR="00412AD1">
              <w:rPr>
                <w:b/>
                <w:bCs/>
                <w:sz w:val="28"/>
              </w:rPr>
              <w:t>la 2ème année</w:t>
            </w:r>
          </w:p>
        </w:tc>
      </w:tr>
      <w:tr w:rsidR="006B2263" w:rsidRPr="00216071" w:rsidTr="00295076">
        <w:trPr>
          <w:cantSplit/>
        </w:trPr>
        <w:tc>
          <w:tcPr>
            <w:tcW w:w="2827" w:type="dxa"/>
          </w:tcPr>
          <w:p w:rsidR="006B2263" w:rsidRPr="00FE5A33" w:rsidRDefault="006B2263" w:rsidP="00033E97">
            <w:pPr>
              <w:ind w:right="-1"/>
              <w:rPr>
                <w:sz w:val="22"/>
                <w:szCs w:val="18"/>
              </w:rPr>
            </w:pPr>
          </w:p>
        </w:tc>
        <w:tc>
          <w:tcPr>
            <w:tcW w:w="1291" w:type="dxa"/>
          </w:tcPr>
          <w:p w:rsidR="006B2263" w:rsidRDefault="006B2263" w:rsidP="00033E97">
            <w:pPr>
              <w:ind w:right="-1"/>
              <w:jc w:val="center"/>
              <w:rPr>
                <w:sz w:val="28"/>
              </w:rPr>
            </w:pPr>
            <w:r w:rsidRPr="00714C25">
              <w:t>Lot N°1 </w:t>
            </w:r>
          </w:p>
        </w:tc>
        <w:tc>
          <w:tcPr>
            <w:tcW w:w="1292" w:type="dxa"/>
          </w:tcPr>
          <w:p w:rsidR="006B2263" w:rsidRDefault="006B2263" w:rsidP="00033E97">
            <w:pPr>
              <w:ind w:right="-1"/>
              <w:jc w:val="center"/>
              <w:rPr>
                <w:sz w:val="28"/>
              </w:rPr>
            </w:pPr>
            <w:r w:rsidRPr="00714C25">
              <w:t>Lot N°</w:t>
            </w:r>
            <w:r>
              <w:t>2</w:t>
            </w:r>
          </w:p>
        </w:tc>
        <w:tc>
          <w:tcPr>
            <w:tcW w:w="1756" w:type="dxa"/>
          </w:tcPr>
          <w:p w:rsidR="006B2263" w:rsidRDefault="006B2263" w:rsidP="00033E97">
            <w:pPr>
              <w:ind w:right="-1"/>
              <w:jc w:val="center"/>
              <w:rPr>
                <w:sz w:val="28"/>
              </w:rPr>
            </w:pPr>
            <w:r w:rsidRPr="00714C25">
              <w:t>Lot N°1 </w:t>
            </w:r>
          </w:p>
        </w:tc>
        <w:tc>
          <w:tcPr>
            <w:tcW w:w="1756" w:type="dxa"/>
          </w:tcPr>
          <w:p w:rsidR="006B2263" w:rsidRDefault="006B2263" w:rsidP="00033E97">
            <w:pPr>
              <w:ind w:right="-1"/>
              <w:jc w:val="center"/>
              <w:rPr>
                <w:sz w:val="28"/>
              </w:rPr>
            </w:pPr>
            <w:r w:rsidRPr="00714C25">
              <w:t>Lot N°2 </w:t>
            </w:r>
          </w:p>
        </w:tc>
      </w:tr>
      <w:tr w:rsidR="00295076" w:rsidRPr="00216071" w:rsidTr="00295076">
        <w:trPr>
          <w:cantSplit/>
        </w:trPr>
        <w:tc>
          <w:tcPr>
            <w:tcW w:w="2827" w:type="dxa"/>
          </w:tcPr>
          <w:p w:rsidR="00295076" w:rsidRPr="00216071" w:rsidRDefault="00295076" w:rsidP="00033E97">
            <w:pPr>
              <w:ind w:right="-1"/>
              <w:rPr>
                <w:sz w:val="28"/>
              </w:rPr>
            </w:pPr>
            <w:r w:rsidRPr="00FE5A33">
              <w:rPr>
                <w:sz w:val="22"/>
                <w:szCs w:val="18"/>
              </w:rPr>
              <w:t>Minimales (</w:t>
            </w:r>
            <w:r>
              <w:rPr>
                <w:sz w:val="22"/>
                <w:szCs w:val="18"/>
              </w:rPr>
              <w:t>en cm</w:t>
            </w:r>
            <w:r w:rsidRPr="0004560A">
              <w:rPr>
                <w:sz w:val="22"/>
                <w:szCs w:val="18"/>
                <w:vertAlign w:val="superscript"/>
              </w:rPr>
              <w:t>2</w:t>
            </w:r>
            <w:r w:rsidRPr="00FE5A33">
              <w:rPr>
                <w:sz w:val="22"/>
                <w:szCs w:val="18"/>
              </w:rPr>
              <w:t>)</w:t>
            </w:r>
          </w:p>
        </w:tc>
        <w:tc>
          <w:tcPr>
            <w:tcW w:w="1291" w:type="dxa"/>
          </w:tcPr>
          <w:p w:rsidR="00295076" w:rsidRPr="00216071" w:rsidRDefault="00295076" w:rsidP="00033E97">
            <w:pPr>
              <w:ind w:right="-1"/>
              <w:jc w:val="center"/>
              <w:rPr>
                <w:sz w:val="28"/>
              </w:rPr>
            </w:pPr>
            <w:r>
              <w:rPr>
                <w:sz w:val="28"/>
              </w:rPr>
              <w:t>30 000</w:t>
            </w:r>
          </w:p>
        </w:tc>
        <w:tc>
          <w:tcPr>
            <w:tcW w:w="1292" w:type="dxa"/>
          </w:tcPr>
          <w:p w:rsidR="00295076" w:rsidRPr="00216071" w:rsidRDefault="00295076" w:rsidP="00B05082">
            <w:pPr>
              <w:ind w:right="-1"/>
              <w:jc w:val="center"/>
              <w:rPr>
                <w:sz w:val="28"/>
              </w:rPr>
            </w:pPr>
            <w:r>
              <w:rPr>
                <w:sz w:val="28"/>
              </w:rPr>
              <w:t>30 000</w:t>
            </w:r>
          </w:p>
        </w:tc>
        <w:tc>
          <w:tcPr>
            <w:tcW w:w="1756" w:type="dxa"/>
          </w:tcPr>
          <w:p w:rsidR="00295076" w:rsidRPr="00216071" w:rsidRDefault="00295076" w:rsidP="00B05082">
            <w:pPr>
              <w:ind w:right="-1"/>
              <w:jc w:val="center"/>
              <w:rPr>
                <w:sz w:val="28"/>
              </w:rPr>
            </w:pPr>
            <w:r>
              <w:rPr>
                <w:sz w:val="28"/>
              </w:rPr>
              <w:t>30 000</w:t>
            </w:r>
          </w:p>
        </w:tc>
        <w:tc>
          <w:tcPr>
            <w:tcW w:w="1756" w:type="dxa"/>
          </w:tcPr>
          <w:p w:rsidR="00295076" w:rsidRPr="00216071" w:rsidRDefault="00295076" w:rsidP="00B05082">
            <w:pPr>
              <w:ind w:right="-1"/>
              <w:jc w:val="center"/>
              <w:rPr>
                <w:sz w:val="28"/>
              </w:rPr>
            </w:pPr>
            <w:r>
              <w:rPr>
                <w:sz w:val="28"/>
              </w:rPr>
              <w:t>30 000</w:t>
            </w:r>
          </w:p>
        </w:tc>
      </w:tr>
      <w:tr w:rsidR="00295076" w:rsidRPr="00216071" w:rsidTr="00295076">
        <w:trPr>
          <w:cantSplit/>
        </w:trPr>
        <w:tc>
          <w:tcPr>
            <w:tcW w:w="2827" w:type="dxa"/>
          </w:tcPr>
          <w:p w:rsidR="00295076" w:rsidRPr="00FE5A33" w:rsidRDefault="00295076" w:rsidP="00033E97">
            <w:pPr>
              <w:ind w:right="-1"/>
              <w:rPr>
                <w:sz w:val="22"/>
                <w:szCs w:val="22"/>
              </w:rPr>
            </w:pPr>
            <w:r w:rsidRPr="00FE5A33">
              <w:rPr>
                <w:sz w:val="22"/>
                <w:szCs w:val="22"/>
              </w:rPr>
              <w:t>Maximales (</w:t>
            </w:r>
            <w:r>
              <w:rPr>
                <w:sz w:val="22"/>
                <w:szCs w:val="18"/>
              </w:rPr>
              <w:t>en cm</w:t>
            </w:r>
            <w:r w:rsidRPr="0004560A">
              <w:rPr>
                <w:sz w:val="22"/>
                <w:szCs w:val="18"/>
                <w:vertAlign w:val="superscript"/>
              </w:rPr>
              <w:t>2</w:t>
            </w:r>
            <w:r w:rsidRPr="00FE5A33">
              <w:rPr>
                <w:sz w:val="22"/>
                <w:szCs w:val="22"/>
              </w:rPr>
              <w:t>)</w:t>
            </w:r>
          </w:p>
        </w:tc>
        <w:tc>
          <w:tcPr>
            <w:tcW w:w="1291" w:type="dxa"/>
          </w:tcPr>
          <w:p w:rsidR="00295076" w:rsidRPr="00216071" w:rsidRDefault="00295076" w:rsidP="00033E97">
            <w:pPr>
              <w:ind w:right="-1"/>
              <w:jc w:val="center"/>
              <w:rPr>
                <w:sz w:val="28"/>
              </w:rPr>
            </w:pPr>
            <w:r>
              <w:rPr>
                <w:sz w:val="28"/>
              </w:rPr>
              <w:t>50 000</w:t>
            </w:r>
          </w:p>
        </w:tc>
        <w:tc>
          <w:tcPr>
            <w:tcW w:w="1292" w:type="dxa"/>
          </w:tcPr>
          <w:p w:rsidR="00295076" w:rsidRPr="00216071" w:rsidRDefault="00295076" w:rsidP="00B05082">
            <w:pPr>
              <w:ind w:right="-1"/>
              <w:jc w:val="center"/>
              <w:rPr>
                <w:sz w:val="28"/>
              </w:rPr>
            </w:pPr>
            <w:r>
              <w:rPr>
                <w:sz w:val="28"/>
              </w:rPr>
              <w:t>50 000</w:t>
            </w:r>
          </w:p>
        </w:tc>
        <w:tc>
          <w:tcPr>
            <w:tcW w:w="1756" w:type="dxa"/>
          </w:tcPr>
          <w:p w:rsidR="00295076" w:rsidRPr="00216071" w:rsidRDefault="00295076" w:rsidP="00B05082">
            <w:pPr>
              <w:ind w:right="-1"/>
              <w:jc w:val="center"/>
              <w:rPr>
                <w:sz w:val="28"/>
              </w:rPr>
            </w:pPr>
            <w:r>
              <w:rPr>
                <w:sz w:val="28"/>
              </w:rPr>
              <w:t>50 000</w:t>
            </w:r>
          </w:p>
        </w:tc>
        <w:tc>
          <w:tcPr>
            <w:tcW w:w="1756" w:type="dxa"/>
          </w:tcPr>
          <w:p w:rsidR="00295076" w:rsidRPr="00216071" w:rsidRDefault="00295076" w:rsidP="00B05082">
            <w:pPr>
              <w:ind w:right="-1"/>
              <w:jc w:val="center"/>
              <w:rPr>
                <w:sz w:val="28"/>
              </w:rPr>
            </w:pPr>
            <w:r>
              <w:rPr>
                <w:sz w:val="28"/>
              </w:rPr>
              <w:t>50 000</w:t>
            </w:r>
          </w:p>
        </w:tc>
      </w:tr>
    </w:tbl>
    <w:p w:rsidR="006B2263" w:rsidRPr="006B2263" w:rsidRDefault="006B2263" w:rsidP="006B2263">
      <w:pPr>
        <w:spacing w:line="360" w:lineRule="auto"/>
        <w:ind w:right="-2"/>
        <w:jc w:val="both"/>
        <w:rPr>
          <w:sz w:val="4"/>
          <w:szCs w:val="4"/>
        </w:rPr>
      </w:pPr>
    </w:p>
    <w:p w:rsidR="006B2263" w:rsidRPr="00CC25C2" w:rsidRDefault="006B2263" w:rsidP="00902473">
      <w:pPr>
        <w:jc w:val="lowKashida"/>
        <w:rPr>
          <w:sz w:val="24"/>
          <w:szCs w:val="24"/>
        </w:rPr>
      </w:pPr>
      <w:r w:rsidRPr="00CC25C2">
        <w:rPr>
          <w:sz w:val="24"/>
          <w:szCs w:val="24"/>
        </w:rPr>
        <w:t xml:space="preserve">Les spécifications techniques sont définies </w:t>
      </w:r>
      <w:r>
        <w:rPr>
          <w:sz w:val="24"/>
          <w:szCs w:val="24"/>
        </w:rPr>
        <w:t>aux annexes 8 et 9.</w:t>
      </w:r>
    </w:p>
    <w:p w:rsidR="006B2263" w:rsidRPr="00CC25C2" w:rsidRDefault="006B2263" w:rsidP="00902473">
      <w:pPr>
        <w:pStyle w:val="Retraitcorpsdetexte"/>
        <w:ind w:left="0"/>
        <w:rPr>
          <w:sz w:val="24"/>
          <w:szCs w:val="24"/>
        </w:rPr>
      </w:pPr>
      <w:r w:rsidRPr="00CC25C2">
        <w:rPr>
          <w:sz w:val="24"/>
          <w:szCs w:val="24"/>
        </w:rPr>
        <w:t>Les soumissionnaires peuvent participer  à un lot ou aux deux lots.</w:t>
      </w:r>
    </w:p>
    <w:p w:rsidR="004638DF" w:rsidRDefault="006B2263" w:rsidP="004638DF">
      <w:pPr>
        <w:widowControl w:val="0"/>
        <w:autoSpaceDE w:val="0"/>
        <w:autoSpaceDN w:val="0"/>
        <w:adjustRightInd w:val="0"/>
        <w:rPr>
          <w:sz w:val="24"/>
          <w:szCs w:val="24"/>
        </w:rPr>
      </w:pPr>
      <w:r w:rsidRPr="00CC25C2">
        <w:rPr>
          <w:sz w:val="24"/>
          <w:szCs w:val="24"/>
        </w:rPr>
        <w:t xml:space="preserve"> Le marché sera attribué par lot. </w:t>
      </w:r>
    </w:p>
    <w:p w:rsidR="006B2263" w:rsidRDefault="006B2263" w:rsidP="004638DF">
      <w:pPr>
        <w:widowControl w:val="0"/>
        <w:autoSpaceDE w:val="0"/>
        <w:autoSpaceDN w:val="0"/>
        <w:adjustRightInd w:val="0"/>
        <w:ind w:right="-149"/>
        <w:rPr>
          <w:sz w:val="24"/>
          <w:szCs w:val="24"/>
        </w:rPr>
      </w:pPr>
      <w:r w:rsidRPr="00CC25C2">
        <w:rPr>
          <w:sz w:val="24"/>
          <w:szCs w:val="24"/>
        </w:rPr>
        <w:t xml:space="preserve">Un seul soumissionnaire peut être le </w:t>
      </w:r>
      <w:r w:rsidR="00902473">
        <w:rPr>
          <w:sz w:val="24"/>
          <w:szCs w:val="24"/>
        </w:rPr>
        <w:t>titulaire du marché pour un lot</w:t>
      </w:r>
      <w:r w:rsidRPr="00CC25C2">
        <w:rPr>
          <w:sz w:val="24"/>
          <w:szCs w:val="24"/>
        </w:rPr>
        <w:t xml:space="preserve"> ou pour les deux lots. </w:t>
      </w:r>
    </w:p>
    <w:p w:rsidR="006B2263" w:rsidRPr="009126E6" w:rsidRDefault="007578C2" w:rsidP="004F6810">
      <w:pPr>
        <w:widowControl w:val="0"/>
        <w:autoSpaceDE w:val="0"/>
        <w:autoSpaceDN w:val="0"/>
        <w:adjustRightInd w:val="0"/>
        <w:rPr>
          <w:color w:val="000000"/>
          <w:rtl/>
        </w:rPr>
      </w:pPr>
      <w:r>
        <w:rPr>
          <w:sz w:val="24"/>
          <w:szCs w:val="24"/>
        </w:rPr>
        <w:t xml:space="preserve"> </w:t>
      </w:r>
      <w:r w:rsidR="006B2263" w:rsidRPr="00FA6879">
        <w:rPr>
          <w:sz w:val="24"/>
          <w:szCs w:val="24"/>
        </w:rPr>
        <w:t>Les offres incomplètes ou partielles</w:t>
      </w:r>
      <w:r w:rsidR="009126E6">
        <w:rPr>
          <w:sz w:val="24"/>
          <w:szCs w:val="24"/>
        </w:rPr>
        <w:t xml:space="preserve"> </w:t>
      </w:r>
      <w:r w:rsidR="006B2263" w:rsidRPr="00FA6879">
        <w:rPr>
          <w:sz w:val="24"/>
          <w:szCs w:val="24"/>
        </w:rPr>
        <w:t>ne seront pas acceptées.</w:t>
      </w:r>
    </w:p>
    <w:p w:rsidR="007578C2" w:rsidRPr="007578C2" w:rsidRDefault="00822234" w:rsidP="007578C2">
      <w:pPr>
        <w:widowControl w:val="0"/>
        <w:autoSpaceDE w:val="0"/>
        <w:autoSpaceDN w:val="0"/>
        <w:adjustRightInd w:val="0"/>
        <w:contextualSpacing/>
        <w:jc w:val="both"/>
        <w:rPr>
          <w:rFonts w:asciiTheme="majorBidi" w:hAnsiTheme="majorBidi" w:cstheme="majorBidi"/>
          <w:bCs/>
          <w:color w:val="000000"/>
          <w:sz w:val="24"/>
          <w:szCs w:val="24"/>
          <w:rtl/>
          <w:lang w:bidi="ar-EG"/>
        </w:rPr>
      </w:pPr>
      <w:r>
        <w:rPr>
          <w:rFonts w:asciiTheme="majorBidi" w:hAnsiTheme="majorBidi" w:cstheme="majorBidi"/>
          <w:bCs/>
          <w:color w:val="000000"/>
          <w:sz w:val="24"/>
          <w:szCs w:val="24"/>
        </w:rPr>
        <w:t xml:space="preserve"> </w:t>
      </w:r>
      <w:r w:rsidR="007578C2">
        <w:rPr>
          <w:rFonts w:asciiTheme="majorBidi" w:hAnsiTheme="majorBidi" w:cstheme="majorBidi"/>
          <w:bCs/>
          <w:color w:val="000000"/>
          <w:sz w:val="24"/>
          <w:szCs w:val="24"/>
        </w:rPr>
        <w:t>Le marché sera attribué au soumissionnaire</w:t>
      </w:r>
      <w:r w:rsidR="007578C2">
        <w:rPr>
          <w:rFonts w:asciiTheme="majorBidi" w:hAnsiTheme="majorBidi" w:cstheme="majorBidi" w:hint="cs"/>
          <w:bCs/>
          <w:color w:val="000000"/>
          <w:sz w:val="24"/>
          <w:szCs w:val="24"/>
          <w:rtl/>
        </w:rPr>
        <w:t xml:space="preserve"> </w:t>
      </w:r>
      <w:r w:rsidR="007578C2">
        <w:rPr>
          <w:rFonts w:asciiTheme="majorBidi" w:hAnsiTheme="majorBidi" w:cstheme="majorBidi"/>
          <w:bCs/>
          <w:color w:val="000000"/>
          <w:sz w:val="24"/>
          <w:szCs w:val="24"/>
        </w:rPr>
        <w:t xml:space="preserve"> titulaire de l’offre moins disante et </w:t>
      </w:r>
      <w:r>
        <w:rPr>
          <w:rFonts w:asciiTheme="majorBidi" w:hAnsiTheme="majorBidi" w:cstheme="majorBidi"/>
          <w:bCs/>
          <w:color w:val="000000"/>
          <w:sz w:val="24"/>
          <w:szCs w:val="24"/>
        </w:rPr>
        <w:t xml:space="preserve"> </w:t>
      </w:r>
      <w:r w:rsidR="007578C2">
        <w:rPr>
          <w:rFonts w:asciiTheme="majorBidi" w:hAnsiTheme="majorBidi" w:cstheme="majorBidi"/>
          <w:bCs/>
          <w:color w:val="000000"/>
          <w:sz w:val="24"/>
          <w:szCs w:val="24"/>
        </w:rPr>
        <w:t>techniquement acceptable</w:t>
      </w:r>
      <w:r w:rsidR="009A60A3">
        <w:rPr>
          <w:rFonts w:asciiTheme="majorBidi" w:hAnsiTheme="majorBidi" w:cstheme="majorBidi" w:hint="cs"/>
          <w:bCs/>
          <w:color w:val="000000"/>
          <w:sz w:val="24"/>
          <w:szCs w:val="24"/>
          <w:rtl/>
        </w:rPr>
        <w:t xml:space="preserve">  </w:t>
      </w:r>
      <w:r w:rsidR="009A60A3">
        <w:rPr>
          <w:rFonts w:asciiTheme="majorBidi" w:hAnsiTheme="majorBidi" w:cstheme="majorBidi"/>
          <w:bCs/>
          <w:color w:val="000000"/>
          <w:sz w:val="24"/>
          <w:szCs w:val="24"/>
        </w:rPr>
        <w:t>par Lot</w:t>
      </w:r>
      <w:r w:rsidR="007578C2">
        <w:rPr>
          <w:rFonts w:asciiTheme="majorBidi" w:hAnsiTheme="majorBidi" w:cstheme="majorBidi"/>
          <w:bCs/>
          <w:color w:val="000000"/>
          <w:sz w:val="24"/>
          <w:szCs w:val="24"/>
        </w:rPr>
        <w:t>.</w:t>
      </w:r>
    </w:p>
    <w:p w:rsidR="007F3BF3" w:rsidRDefault="00F41EE7" w:rsidP="00F41EE7">
      <w:pPr>
        <w:ind w:right="-108" w:firstLine="851"/>
        <w:contextualSpacing/>
        <w:jc w:val="both"/>
        <w:rPr>
          <w:rFonts w:asciiTheme="majorBidi" w:hAnsiTheme="majorBidi" w:cstheme="majorBidi"/>
          <w:b/>
          <w:sz w:val="24"/>
          <w:szCs w:val="24"/>
        </w:rPr>
      </w:pPr>
      <w:r>
        <w:rPr>
          <w:rFonts w:asciiTheme="majorBidi" w:hAnsiTheme="majorBidi" w:cstheme="majorBidi"/>
          <w:sz w:val="24"/>
          <w:szCs w:val="24"/>
        </w:rPr>
        <w:t xml:space="preserve">    </w:t>
      </w:r>
      <w:r w:rsidR="007F3BF3" w:rsidRPr="006353C6">
        <w:rPr>
          <w:rFonts w:asciiTheme="majorBidi" w:hAnsiTheme="majorBidi" w:cstheme="majorBidi"/>
          <w:sz w:val="24"/>
          <w:szCs w:val="24"/>
        </w:rPr>
        <w:t>Les soum</w:t>
      </w:r>
      <w:r w:rsidR="007F3BF3">
        <w:rPr>
          <w:rFonts w:asciiTheme="majorBidi" w:hAnsiTheme="majorBidi" w:cstheme="majorBidi"/>
          <w:sz w:val="24"/>
          <w:szCs w:val="24"/>
        </w:rPr>
        <w:t xml:space="preserve">issionnaires intéressés par cette consultation </w:t>
      </w:r>
      <w:r w:rsidR="007F3BF3" w:rsidRPr="006353C6">
        <w:rPr>
          <w:rFonts w:asciiTheme="majorBidi" w:hAnsiTheme="majorBidi" w:cstheme="majorBidi"/>
          <w:sz w:val="24"/>
          <w:szCs w:val="24"/>
        </w:rPr>
        <w:t xml:space="preserve">peuvent retirer le cahier des charges y afférent auprès de notre bureau d’ordre central  sis à l’administration de la société LES CIMENTS DE BIZERTE rue Habib THAMEUR BIZERTE, ou auprès de notre bureau de Tunis sis </w:t>
      </w:r>
      <w:r w:rsidR="007F3BF3" w:rsidRPr="006353C6">
        <w:rPr>
          <w:rFonts w:asciiTheme="majorBidi" w:hAnsiTheme="majorBidi" w:cstheme="majorBidi"/>
          <w:sz w:val="24"/>
          <w:szCs w:val="24"/>
          <w:lang w:bidi="ar-TN"/>
        </w:rPr>
        <w:t xml:space="preserve">au Centre Urbain Nord – Immeuble B Parcelle BC5 4ème étage 1082 Tunis </w:t>
      </w:r>
      <w:r w:rsidR="007F3BF3" w:rsidRPr="006353C6">
        <w:rPr>
          <w:rFonts w:asciiTheme="majorBidi" w:hAnsiTheme="majorBidi" w:cstheme="majorBidi"/>
          <w:sz w:val="24"/>
          <w:szCs w:val="24"/>
        </w:rPr>
        <w:t xml:space="preserve">contre le payement de </w:t>
      </w:r>
      <w:r>
        <w:rPr>
          <w:rFonts w:asciiTheme="majorBidi" w:hAnsiTheme="majorBidi" w:cstheme="majorBidi"/>
          <w:sz w:val="24"/>
          <w:szCs w:val="24"/>
        </w:rPr>
        <w:t>30</w:t>
      </w:r>
      <w:r w:rsidR="007F3BF3" w:rsidRPr="006353C6">
        <w:rPr>
          <w:rFonts w:asciiTheme="majorBidi" w:hAnsiTheme="majorBidi" w:cstheme="majorBidi"/>
          <w:sz w:val="24"/>
          <w:szCs w:val="24"/>
        </w:rPr>
        <w:t xml:space="preserve"> dinars non récupérables</w:t>
      </w:r>
      <w:r w:rsidR="007F3BF3" w:rsidRPr="006353C6">
        <w:rPr>
          <w:rFonts w:asciiTheme="majorBidi" w:hAnsiTheme="majorBidi" w:cstheme="majorBidi"/>
          <w:b/>
          <w:sz w:val="24"/>
          <w:szCs w:val="24"/>
        </w:rPr>
        <w:t>.</w:t>
      </w:r>
    </w:p>
    <w:p w:rsidR="005E5DEC" w:rsidRDefault="00F41EE7" w:rsidP="005E5DEC">
      <w:pPr>
        <w:contextualSpacing/>
        <w:jc w:val="both"/>
        <w:rPr>
          <w:rFonts w:asciiTheme="majorBidi" w:hAnsiTheme="majorBidi" w:cstheme="majorBidi"/>
          <w:sz w:val="24"/>
          <w:szCs w:val="24"/>
          <w:rtl/>
        </w:rPr>
      </w:pPr>
      <w:r>
        <w:rPr>
          <w:rFonts w:asciiTheme="majorBidi" w:hAnsiTheme="majorBidi" w:cstheme="majorBidi"/>
          <w:sz w:val="24"/>
          <w:szCs w:val="24"/>
        </w:rPr>
        <w:t xml:space="preserve">               </w:t>
      </w:r>
      <w:r w:rsidR="007F3BF3">
        <w:rPr>
          <w:rFonts w:asciiTheme="majorBidi" w:hAnsiTheme="majorBidi" w:cstheme="majorBidi"/>
          <w:sz w:val="24"/>
          <w:szCs w:val="24"/>
        </w:rPr>
        <w:t xml:space="preserve">   </w:t>
      </w:r>
      <w:r w:rsidR="007F3BF3" w:rsidRPr="00CC533A">
        <w:rPr>
          <w:rFonts w:asciiTheme="majorBidi" w:hAnsiTheme="majorBidi" w:cstheme="majorBidi"/>
          <w:sz w:val="24"/>
          <w:szCs w:val="24"/>
        </w:rPr>
        <w:t>L'offre technique et l'offre financière doivent être placées dans deux enveloppes séparées et scellée qui seront ensuite placées ensembl</w:t>
      </w:r>
      <w:r w:rsidR="005E5DEC">
        <w:rPr>
          <w:rFonts w:asciiTheme="majorBidi" w:hAnsiTheme="majorBidi" w:cstheme="majorBidi"/>
          <w:sz w:val="24"/>
          <w:szCs w:val="24"/>
        </w:rPr>
        <w:t>e dans une troisième enveloppe,</w:t>
      </w:r>
    </w:p>
    <w:p w:rsidR="007F3BF3" w:rsidRPr="007F3BF3" w:rsidRDefault="007F3BF3" w:rsidP="005E5DEC">
      <w:pPr>
        <w:contextualSpacing/>
        <w:jc w:val="both"/>
        <w:rPr>
          <w:rFonts w:asciiTheme="majorBidi" w:hAnsiTheme="majorBidi" w:cstheme="majorBidi"/>
          <w:sz w:val="2"/>
          <w:szCs w:val="2"/>
        </w:rPr>
      </w:pPr>
      <w:r w:rsidRPr="00CC533A">
        <w:rPr>
          <w:rFonts w:asciiTheme="majorBidi" w:hAnsiTheme="majorBidi" w:cstheme="majorBidi"/>
          <w:sz w:val="24"/>
          <w:szCs w:val="24"/>
        </w:rPr>
        <w:t xml:space="preserve"> </w:t>
      </w:r>
    </w:p>
    <w:p w:rsidR="007F3BF3" w:rsidRPr="00CC533A" w:rsidRDefault="00F41EE7" w:rsidP="005E5DEC">
      <w:pPr>
        <w:tabs>
          <w:tab w:val="left" w:pos="1440"/>
          <w:tab w:val="left" w:pos="5820"/>
        </w:tabs>
        <w:ind w:right="-2"/>
        <w:contextualSpacing/>
        <w:rPr>
          <w:rFonts w:asciiTheme="majorBidi" w:hAnsiTheme="majorBidi" w:cstheme="majorBidi"/>
          <w:sz w:val="24"/>
          <w:szCs w:val="24"/>
        </w:rPr>
      </w:pPr>
      <w:r>
        <w:rPr>
          <w:rFonts w:asciiTheme="majorBidi" w:hAnsiTheme="majorBidi" w:cstheme="majorBidi"/>
          <w:sz w:val="24"/>
          <w:szCs w:val="24"/>
        </w:rPr>
        <w:t xml:space="preserve">                </w:t>
      </w:r>
      <w:r w:rsidR="005E5DEC">
        <w:rPr>
          <w:rFonts w:asciiTheme="majorBidi" w:hAnsiTheme="majorBidi" w:cstheme="majorBidi"/>
          <w:sz w:val="24"/>
          <w:szCs w:val="24"/>
        </w:rPr>
        <w:t>Elle</w:t>
      </w:r>
      <w:r>
        <w:rPr>
          <w:rFonts w:asciiTheme="majorBidi" w:hAnsiTheme="majorBidi" w:cstheme="majorBidi"/>
          <w:sz w:val="24"/>
          <w:szCs w:val="24"/>
        </w:rPr>
        <w:t xml:space="preserve">  </w:t>
      </w:r>
      <w:r w:rsidR="007F3BF3" w:rsidRPr="00CC533A">
        <w:rPr>
          <w:rFonts w:asciiTheme="majorBidi" w:hAnsiTheme="majorBidi" w:cstheme="majorBidi"/>
          <w:sz w:val="24"/>
          <w:szCs w:val="24"/>
        </w:rPr>
        <w:t>doit porter la mention apparente :</w:t>
      </w:r>
    </w:p>
    <w:p w:rsidR="006B2263" w:rsidRPr="00F41EE7" w:rsidRDefault="006B2263" w:rsidP="006B2263">
      <w:pPr>
        <w:tabs>
          <w:tab w:val="left" w:pos="1440"/>
          <w:tab w:val="left" w:pos="9639"/>
        </w:tabs>
        <w:ind w:right="1"/>
        <w:jc w:val="both"/>
        <w:rPr>
          <w:sz w:val="4"/>
          <w:szCs w:val="4"/>
        </w:rPr>
      </w:pPr>
    </w:p>
    <w:p w:rsidR="000B5C0A" w:rsidRDefault="006B2263" w:rsidP="00C11ED6">
      <w:pPr>
        <w:tabs>
          <w:tab w:val="left" w:pos="1440"/>
          <w:tab w:val="center" w:pos="4267"/>
          <w:tab w:val="left" w:pos="7450"/>
        </w:tabs>
        <w:ind w:right="538"/>
        <w:rPr>
          <w:b/>
          <w:bCs/>
          <w:sz w:val="26"/>
          <w:szCs w:val="26"/>
          <w:rtl/>
          <w:lang w:bidi="ar-EG"/>
        </w:rPr>
      </w:pPr>
      <w:r>
        <w:rPr>
          <w:sz w:val="24"/>
          <w:szCs w:val="24"/>
        </w:rPr>
        <w:tab/>
      </w:r>
      <w:r>
        <w:rPr>
          <w:sz w:val="24"/>
          <w:szCs w:val="24"/>
        </w:rPr>
        <w:tab/>
        <w:t xml:space="preserve">        </w:t>
      </w:r>
      <w:r w:rsidRPr="00FA6879">
        <w:rPr>
          <w:sz w:val="24"/>
          <w:szCs w:val="24"/>
        </w:rPr>
        <w:t xml:space="preserve">    </w:t>
      </w:r>
      <w:r w:rsidR="000B5C0A">
        <w:rPr>
          <w:b/>
          <w:bCs/>
          <w:sz w:val="26"/>
          <w:szCs w:val="26"/>
        </w:rPr>
        <w:t>NE PAS OUVRIR</w:t>
      </w:r>
    </w:p>
    <w:p w:rsidR="006B2263" w:rsidRPr="00FA6879" w:rsidRDefault="000B5C0A" w:rsidP="00F963CD">
      <w:pPr>
        <w:tabs>
          <w:tab w:val="left" w:pos="1440"/>
          <w:tab w:val="center" w:pos="4267"/>
          <w:tab w:val="left" w:pos="7450"/>
        </w:tabs>
        <w:ind w:right="538"/>
        <w:jc w:val="center"/>
        <w:rPr>
          <w:b/>
          <w:bCs/>
          <w:sz w:val="26"/>
          <w:szCs w:val="26"/>
        </w:rPr>
      </w:pPr>
      <w:r>
        <w:rPr>
          <w:b/>
          <w:bCs/>
          <w:sz w:val="26"/>
          <w:szCs w:val="26"/>
        </w:rPr>
        <w:t>Consultation</w:t>
      </w:r>
      <w:r w:rsidR="006B2263" w:rsidRPr="00FA6879">
        <w:rPr>
          <w:b/>
          <w:bCs/>
          <w:sz w:val="26"/>
          <w:szCs w:val="26"/>
        </w:rPr>
        <w:t xml:space="preserve"> N°</w:t>
      </w:r>
      <w:r w:rsidR="00F963CD">
        <w:rPr>
          <w:b/>
          <w:bCs/>
          <w:sz w:val="26"/>
          <w:szCs w:val="26"/>
        </w:rPr>
        <w:t>14</w:t>
      </w:r>
      <w:r w:rsidR="006B2263" w:rsidRPr="00FA6879">
        <w:rPr>
          <w:b/>
          <w:bCs/>
          <w:sz w:val="26"/>
          <w:szCs w:val="26"/>
        </w:rPr>
        <w:t>/</w:t>
      </w:r>
      <w:r w:rsidR="00C11ED6">
        <w:rPr>
          <w:b/>
          <w:bCs/>
          <w:sz w:val="26"/>
          <w:szCs w:val="26"/>
        </w:rPr>
        <w:t>2022</w:t>
      </w:r>
    </w:p>
    <w:p w:rsidR="006B2263" w:rsidRPr="007F3BF3" w:rsidRDefault="006B2263" w:rsidP="000B5C0A">
      <w:pPr>
        <w:tabs>
          <w:tab w:val="center" w:pos="5219"/>
          <w:tab w:val="left" w:pos="8940"/>
        </w:tabs>
        <w:jc w:val="center"/>
        <w:rPr>
          <w:b/>
          <w:bCs/>
          <w:sz w:val="26"/>
          <w:szCs w:val="26"/>
        </w:rPr>
      </w:pPr>
      <w:r w:rsidRPr="00FA6879">
        <w:rPr>
          <w:b/>
          <w:bCs/>
          <w:sz w:val="26"/>
          <w:szCs w:val="26"/>
        </w:rPr>
        <w:t>« Choix d’un journal quotidien pour l’insertion des avis d’appel d’offres »</w:t>
      </w:r>
    </w:p>
    <w:p w:rsidR="00F41EE7" w:rsidRDefault="007F3BF3" w:rsidP="007F3BF3">
      <w:pPr>
        <w:tabs>
          <w:tab w:val="left" w:pos="1440"/>
          <w:tab w:val="left" w:pos="10440"/>
        </w:tabs>
        <w:contextualSpacing/>
        <w:jc w:val="both"/>
        <w:rPr>
          <w:rFonts w:asciiTheme="majorBidi" w:hAnsiTheme="majorBidi" w:cstheme="majorBidi"/>
          <w:sz w:val="24"/>
          <w:szCs w:val="24"/>
        </w:rPr>
      </w:pPr>
      <w:r>
        <w:rPr>
          <w:rFonts w:asciiTheme="majorBidi" w:hAnsiTheme="majorBidi" w:cstheme="majorBidi"/>
          <w:sz w:val="24"/>
          <w:szCs w:val="24"/>
        </w:rPr>
        <w:t xml:space="preserve">                </w:t>
      </w:r>
    </w:p>
    <w:p w:rsidR="005E5DEC" w:rsidRDefault="005E5DEC" w:rsidP="005E5DEC">
      <w:pPr>
        <w:tabs>
          <w:tab w:val="left" w:pos="1440"/>
          <w:tab w:val="left" w:pos="10440"/>
        </w:tabs>
        <w:contextualSpacing/>
        <w:jc w:val="both"/>
        <w:rPr>
          <w:rFonts w:asciiTheme="majorBidi" w:hAnsiTheme="majorBidi" w:cstheme="majorBidi"/>
          <w:sz w:val="24"/>
          <w:szCs w:val="24"/>
        </w:rPr>
      </w:pPr>
    </w:p>
    <w:p w:rsidR="005E5DEC" w:rsidRDefault="005E5DEC" w:rsidP="005E5DEC">
      <w:pPr>
        <w:tabs>
          <w:tab w:val="left" w:pos="1440"/>
          <w:tab w:val="left" w:pos="10440"/>
        </w:tabs>
        <w:contextualSpacing/>
        <w:jc w:val="both"/>
        <w:rPr>
          <w:rFonts w:asciiTheme="majorBidi" w:hAnsiTheme="majorBidi" w:cstheme="majorBidi"/>
          <w:sz w:val="24"/>
          <w:szCs w:val="24"/>
        </w:rPr>
      </w:pPr>
    </w:p>
    <w:p w:rsidR="005E5DEC" w:rsidRDefault="005E5DEC" w:rsidP="005E5DEC">
      <w:pPr>
        <w:tabs>
          <w:tab w:val="left" w:pos="1440"/>
          <w:tab w:val="left" w:pos="10440"/>
        </w:tabs>
        <w:contextualSpacing/>
        <w:jc w:val="both"/>
        <w:rPr>
          <w:rFonts w:asciiTheme="majorBidi" w:hAnsiTheme="majorBidi" w:cstheme="majorBidi"/>
          <w:sz w:val="24"/>
          <w:szCs w:val="24"/>
        </w:rPr>
      </w:pPr>
    </w:p>
    <w:p w:rsidR="007F3BF3" w:rsidRPr="006353C6" w:rsidRDefault="007F3BF3" w:rsidP="005E5DEC">
      <w:pPr>
        <w:tabs>
          <w:tab w:val="left" w:pos="1440"/>
          <w:tab w:val="left" w:pos="10440"/>
        </w:tabs>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005E5DEC">
        <w:rPr>
          <w:rFonts w:asciiTheme="majorBidi" w:hAnsiTheme="majorBidi" w:cstheme="majorBidi"/>
          <w:sz w:val="24"/>
          <w:szCs w:val="24"/>
        </w:rPr>
        <w:t>Elle</w:t>
      </w:r>
      <w:r w:rsidRPr="006353C6">
        <w:rPr>
          <w:rFonts w:asciiTheme="majorBidi" w:hAnsiTheme="majorBidi" w:cstheme="majorBidi"/>
          <w:sz w:val="24"/>
          <w:szCs w:val="24"/>
        </w:rPr>
        <w:t xml:space="preserve"> doit comprendre :</w:t>
      </w:r>
    </w:p>
    <w:p w:rsidR="007F3BF3" w:rsidRPr="00077BF1" w:rsidRDefault="007F3BF3" w:rsidP="00077BF1">
      <w:pPr>
        <w:pStyle w:val="Paragraphedeliste"/>
        <w:numPr>
          <w:ilvl w:val="0"/>
          <w:numId w:val="4"/>
        </w:numPr>
        <w:tabs>
          <w:tab w:val="left" w:pos="1418"/>
        </w:tabs>
        <w:spacing w:after="0" w:line="240" w:lineRule="auto"/>
        <w:ind w:left="1560" w:hanging="284"/>
        <w:rPr>
          <w:rFonts w:asciiTheme="majorBidi" w:hAnsiTheme="majorBidi" w:cstheme="majorBidi"/>
          <w:b/>
          <w:bCs/>
          <w:sz w:val="24"/>
          <w:szCs w:val="24"/>
        </w:rPr>
      </w:pPr>
      <w:r w:rsidRPr="006353C6">
        <w:rPr>
          <w:rFonts w:asciiTheme="majorBidi" w:hAnsiTheme="majorBidi" w:cstheme="majorBidi"/>
          <w:sz w:val="24"/>
          <w:szCs w:val="24"/>
        </w:rPr>
        <w:t xml:space="preserve"> </w:t>
      </w:r>
      <w:r w:rsidR="00077BF1" w:rsidRPr="00077BF1">
        <w:rPr>
          <w:rFonts w:asciiTheme="majorBidi" w:hAnsiTheme="majorBidi" w:cstheme="majorBidi"/>
          <w:b/>
          <w:bCs/>
          <w:sz w:val="24"/>
          <w:szCs w:val="24"/>
        </w:rPr>
        <w:t>le cautionnement provisoire et les documents administratifs.</w:t>
      </w:r>
    </w:p>
    <w:p w:rsidR="007F3BF3" w:rsidRPr="006353C6" w:rsidRDefault="007F3BF3" w:rsidP="00077BF1">
      <w:pPr>
        <w:pStyle w:val="Paragraphedeliste"/>
        <w:numPr>
          <w:ilvl w:val="0"/>
          <w:numId w:val="4"/>
        </w:numPr>
        <w:tabs>
          <w:tab w:val="left" w:pos="1418"/>
        </w:tabs>
        <w:spacing w:after="0" w:line="240" w:lineRule="auto"/>
        <w:ind w:left="1560" w:hanging="284"/>
        <w:rPr>
          <w:rFonts w:asciiTheme="majorBidi" w:hAnsiTheme="majorBidi" w:cstheme="majorBidi"/>
          <w:b/>
          <w:bCs/>
          <w:sz w:val="24"/>
          <w:szCs w:val="24"/>
        </w:rPr>
      </w:pPr>
      <w:r w:rsidRPr="006353C6">
        <w:rPr>
          <w:rFonts w:asciiTheme="majorBidi" w:hAnsiTheme="majorBidi" w:cstheme="majorBidi"/>
          <w:b/>
          <w:bCs/>
          <w:sz w:val="24"/>
          <w:szCs w:val="24"/>
        </w:rPr>
        <w:t xml:space="preserve">Une enveloppe fermée contenant </w:t>
      </w:r>
      <w:r w:rsidR="00077BF1">
        <w:rPr>
          <w:rFonts w:asciiTheme="majorBidi" w:hAnsiTheme="majorBidi" w:cstheme="majorBidi"/>
          <w:b/>
          <w:bCs/>
          <w:sz w:val="24"/>
          <w:szCs w:val="24"/>
        </w:rPr>
        <w:t>l’offre technique</w:t>
      </w:r>
    </w:p>
    <w:p w:rsidR="007F3BF3" w:rsidRDefault="007F3BF3" w:rsidP="007F3BF3">
      <w:pPr>
        <w:pStyle w:val="Paragraphedeliste"/>
        <w:numPr>
          <w:ilvl w:val="0"/>
          <w:numId w:val="4"/>
        </w:numPr>
        <w:tabs>
          <w:tab w:val="left" w:pos="1418"/>
        </w:tabs>
        <w:spacing w:after="0" w:line="240" w:lineRule="auto"/>
        <w:ind w:left="1560" w:hanging="284"/>
        <w:rPr>
          <w:rFonts w:asciiTheme="majorBidi" w:hAnsiTheme="majorBidi" w:cstheme="majorBidi"/>
          <w:b/>
          <w:bCs/>
          <w:sz w:val="24"/>
          <w:szCs w:val="24"/>
        </w:rPr>
      </w:pPr>
      <w:r w:rsidRPr="006353C6">
        <w:rPr>
          <w:rFonts w:asciiTheme="majorBidi" w:hAnsiTheme="majorBidi" w:cstheme="majorBidi"/>
          <w:b/>
          <w:bCs/>
          <w:sz w:val="24"/>
          <w:szCs w:val="24"/>
        </w:rPr>
        <w:t>Une enveloppe fermée contenant l’offre financière</w:t>
      </w:r>
    </w:p>
    <w:p w:rsidR="00077BF1" w:rsidRPr="005E5DEC" w:rsidRDefault="00077BF1" w:rsidP="00077BF1">
      <w:pPr>
        <w:pStyle w:val="Paragraphedeliste"/>
        <w:tabs>
          <w:tab w:val="left" w:pos="1418"/>
        </w:tabs>
        <w:spacing w:after="0" w:line="240" w:lineRule="auto"/>
        <w:ind w:left="1560"/>
        <w:rPr>
          <w:rFonts w:asciiTheme="majorBidi" w:hAnsiTheme="majorBidi" w:cstheme="majorBidi"/>
          <w:b/>
          <w:bCs/>
          <w:sz w:val="8"/>
          <w:szCs w:val="8"/>
        </w:rPr>
      </w:pPr>
    </w:p>
    <w:p w:rsidR="007F3BF3" w:rsidRPr="00A26CE2" w:rsidRDefault="007F3BF3" w:rsidP="007F3BF3">
      <w:pPr>
        <w:tabs>
          <w:tab w:val="left" w:pos="1418"/>
          <w:tab w:val="left" w:pos="9639"/>
        </w:tabs>
        <w:ind w:right="-1" w:firstLine="851"/>
        <w:contextualSpacing/>
        <w:jc w:val="both"/>
        <w:rPr>
          <w:rFonts w:asciiTheme="majorBidi" w:hAnsiTheme="majorBidi" w:cstheme="majorBidi"/>
          <w:sz w:val="4"/>
          <w:szCs w:val="4"/>
          <w:lang w:bidi="ar-TN"/>
        </w:rPr>
      </w:pPr>
    </w:p>
    <w:p w:rsidR="007F3BF3" w:rsidRPr="00077BF1" w:rsidRDefault="00077BF1" w:rsidP="00077BF1">
      <w:pPr>
        <w:pStyle w:val="Paragraphedeliste"/>
        <w:numPr>
          <w:ilvl w:val="0"/>
          <w:numId w:val="8"/>
        </w:numPr>
        <w:ind w:left="709" w:right="538" w:hanging="349"/>
        <w:jc w:val="both"/>
        <w:rPr>
          <w:rFonts w:asciiTheme="majorBidi" w:hAnsiTheme="majorBidi" w:cstheme="majorBidi"/>
          <w:b/>
          <w:bCs/>
          <w:color w:val="000000"/>
          <w:sz w:val="4"/>
          <w:szCs w:val="4"/>
        </w:rPr>
      </w:pPr>
      <w:r w:rsidRPr="00077BF1">
        <w:rPr>
          <w:rFonts w:asciiTheme="majorBidi" w:hAnsiTheme="majorBidi" w:cstheme="majorBidi"/>
          <w:b/>
          <w:bCs/>
          <w:sz w:val="24"/>
          <w:szCs w:val="24"/>
        </w:rPr>
        <w:t>le cautionnement provisoire et les documents administratifs</w:t>
      </w:r>
    </w:p>
    <w:p w:rsidR="007F3BF3" w:rsidRDefault="00C22D98" w:rsidP="00F41EE7">
      <w:pPr>
        <w:numPr>
          <w:ilvl w:val="0"/>
          <w:numId w:val="6"/>
        </w:numPr>
        <w:tabs>
          <w:tab w:val="left" w:pos="709"/>
        </w:tabs>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Les</w:t>
      </w:r>
      <w:r w:rsidR="007F3BF3" w:rsidRPr="006353C6">
        <w:rPr>
          <w:rFonts w:asciiTheme="majorBidi" w:hAnsiTheme="majorBidi" w:cstheme="majorBidi"/>
          <w:color w:val="000000"/>
          <w:sz w:val="24"/>
          <w:szCs w:val="24"/>
        </w:rPr>
        <w:t xml:space="preserve"> caution</w:t>
      </w:r>
      <w:r>
        <w:rPr>
          <w:rFonts w:asciiTheme="majorBidi" w:hAnsiTheme="majorBidi" w:cstheme="majorBidi"/>
          <w:color w:val="000000"/>
          <w:sz w:val="24"/>
          <w:szCs w:val="24"/>
        </w:rPr>
        <w:t>s</w:t>
      </w:r>
      <w:r w:rsidR="007F3BF3" w:rsidRPr="006353C6">
        <w:rPr>
          <w:rFonts w:asciiTheme="majorBidi" w:hAnsiTheme="majorBidi" w:cstheme="majorBidi"/>
          <w:color w:val="000000"/>
          <w:sz w:val="24"/>
          <w:szCs w:val="24"/>
        </w:rPr>
        <w:t xml:space="preserve"> bancaire</w:t>
      </w:r>
      <w:r>
        <w:rPr>
          <w:rFonts w:asciiTheme="majorBidi" w:hAnsiTheme="majorBidi" w:cstheme="majorBidi"/>
          <w:color w:val="000000"/>
          <w:sz w:val="24"/>
          <w:szCs w:val="24"/>
        </w:rPr>
        <w:t>s</w:t>
      </w:r>
      <w:r w:rsidR="007F3BF3" w:rsidRPr="006353C6">
        <w:rPr>
          <w:rFonts w:asciiTheme="majorBidi" w:hAnsiTheme="majorBidi" w:cstheme="majorBidi"/>
          <w:color w:val="000000"/>
          <w:sz w:val="24"/>
          <w:szCs w:val="24"/>
        </w:rPr>
        <w:t xml:space="preserve"> d’une valeur égale à</w:t>
      </w:r>
      <w:r w:rsidR="007F3BF3">
        <w:rPr>
          <w:rFonts w:asciiTheme="majorBidi" w:hAnsiTheme="majorBidi" w:cstheme="majorBidi"/>
          <w:color w:val="000000"/>
          <w:sz w:val="24"/>
          <w:szCs w:val="24"/>
        </w:rPr>
        <w:t> :</w:t>
      </w:r>
    </w:p>
    <w:p w:rsidR="007F3BF3" w:rsidRDefault="007F3BF3" w:rsidP="00F41EE7">
      <w:pPr>
        <w:tabs>
          <w:tab w:val="left" w:pos="709"/>
        </w:tabs>
        <w:ind w:left="720"/>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Lot 1 : 3</w:t>
      </w:r>
      <w:r w:rsidRPr="006353C6">
        <w:rPr>
          <w:rFonts w:asciiTheme="majorBidi" w:hAnsiTheme="majorBidi" w:cstheme="majorBidi"/>
          <w:color w:val="000000"/>
          <w:sz w:val="24"/>
          <w:szCs w:val="24"/>
        </w:rPr>
        <w:t>00 dinars</w:t>
      </w:r>
    </w:p>
    <w:p w:rsidR="007F3BF3" w:rsidRDefault="007F3BF3" w:rsidP="00F41EE7">
      <w:pPr>
        <w:tabs>
          <w:tab w:val="left" w:pos="709"/>
        </w:tabs>
        <w:ind w:left="720"/>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Lot 2 : 500 dinars</w:t>
      </w:r>
    </w:p>
    <w:p w:rsidR="007F3BF3" w:rsidRPr="00BA376E" w:rsidRDefault="007F3BF3" w:rsidP="00077BF1">
      <w:pPr>
        <w:tabs>
          <w:tab w:val="left" w:pos="709"/>
        </w:tabs>
        <w:contextualSpacing/>
        <w:jc w:val="both"/>
        <w:rPr>
          <w:rFonts w:asciiTheme="majorBidi" w:hAnsiTheme="majorBidi" w:cstheme="majorBidi"/>
          <w:sz w:val="2"/>
          <w:szCs w:val="2"/>
        </w:rPr>
      </w:pPr>
      <w:r w:rsidRPr="006353C6">
        <w:rPr>
          <w:rFonts w:asciiTheme="majorBidi" w:hAnsiTheme="majorBidi" w:cstheme="majorBidi"/>
          <w:color w:val="000000"/>
          <w:sz w:val="24"/>
          <w:szCs w:val="24"/>
        </w:rPr>
        <w:t xml:space="preserve"> </w:t>
      </w:r>
      <w:proofErr w:type="gramStart"/>
      <w:r w:rsidRPr="006353C6">
        <w:rPr>
          <w:rFonts w:asciiTheme="majorBidi" w:hAnsiTheme="majorBidi" w:cstheme="majorBidi"/>
          <w:color w:val="000000"/>
          <w:sz w:val="24"/>
          <w:szCs w:val="24"/>
        </w:rPr>
        <w:t>et</w:t>
      </w:r>
      <w:proofErr w:type="gramEnd"/>
      <w:r w:rsidRPr="006353C6">
        <w:rPr>
          <w:rFonts w:asciiTheme="majorBidi" w:hAnsiTheme="majorBidi" w:cstheme="majorBidi"/>
          <w:color w:val="000000"/>
          <w:sz w:val="24"/>
          <w:szCs w:val="24"/>
        </w:rPr>
        <w:t xml:space="preserve"> valable</w:t>
      </w:r>
      <w:r w:rsidR="00C22D98">
        <w:rPr>
          <w:rFonts w:asciiTheme="majorBidi" w:hAnsiTheme="majorBidi" w:cstheme="majorBidi"/>
          <w:color w:val="000000"/>
          <w:sz w:val="24"/>
          <w:szCs w:val="24"/>
        </w:rPr>
        <w:t>s</w:t>
      </w:r>
      <w:r w:rsidRPr="006353C6">
        <w:rPr>
          <w:rFonts w:asciiTheme="majorBidi" w:hAnsiTheme="majorBidi" w:cstheme="majorBidi"/>
          <w:color w:val="000000"/>
          <w:sz w:val="24"/>
          <w:szCs w:val="24"/>
        </w:rPr>
        <w:t xml:space="preserve"> 120 jours </w:t>
      </w:r>
      <w:r w:rsidR="00077BF1" w:rsidRPr="006353C6">
        <w:rPr>
          <w:rFonts w:asciiTheme="majorBidi" w:hAnsiTheme="majorBidi" w:cstheme="majorBidi"/>
          <w:color w:val="000000"/>
          <w:sz w:val="24"/>
          <w:szCs w:val="24"/>
        </w:rPr>
        <w:t xml:space="preserve">à compter du </w:t>
      </w:r>
      <w:r w:rsidR="00077BF1">
        <w:rPr>
          <w:rFonts w:asciiTheme="majorBidi" w:hAnsiTheme="majorBidi" w:cstheme="majorBidi"/>
          <w:color w:val="000000"/>
          <w:sz w:val="24"/>
          <w:szCs w:val="24"/>
        </w:rPr>
        <w:t xml:space="preserve">jour suivant la date </w:t>
      </w:r>
      <w:r w:rsidR="00077BF1" w:rsidRPr="006353C6">
        <w:rPr>
          <w:rFonts w:asciiTheme="majorBidi" w:hAnsiTheme="majorBidi" w:cstheme="majorBidi"/>
          <w:color w:val="000000"/>
          <w:sz w:val="24"/>
          <w:szCs w:val="24"/>
        </w:rPr>
        <w:t>limite de réception des offres.</w:t>
      </w:r>
    </w:p>
    <w:p w:rsidR="007F3BF3" w:rsidRPr="006353C6" w:rsidRDefault="007F3BF3" w:rsidP="00F41EE7">
      <w:pPr>
        <w:numPr>
          <w:ilvl w:val="0"/>
          <w:numId w:val="6"/>
        </w:numPr>
        <w:tabs>
          <w:tab w:val="left" w:pos="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 xml:space="preserve">Le cahier des charges dûment signé et cacheté sur toutes ses pages. </w:t>
      </w:r>
    </w:p>
    <w:p w:rsidR="007F3BF3" w:rsidRPr="00BA376E" w:rsidRDefault="007F3BF3" w:rsidP="00F41EE7">
      <w:pPr>
        <w:numPr>
          <w:ilvl w:val="0"/>
          <w:numId w:val="6"/>
        </w:numPr>
        <w:tabs>
          <w:tab w:val="left" w:pos="284"/>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La déclaration sur l’honneur de non influence (selon modèle en annexe du cahier des charges).</w:t>
      </w:r>
    </w:p>
    <w:p w:rsidR="007F3BF3" w:rsidRPr="006353C6" w:rsidRDefault="007F3BF3" w:rsidP="00F41EE7">
      <w:pPr>
        <w:numPr>
          <w:ilvl w:val="0"/>
          <w:numId w:val="6"/>
        </w:numPr>
        <w:tabs>
          <w:tab w:val="left" w:pos="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Un certificat d’affiliation à un régime de sécurité sociale.</w:t>
      </w:r>
    </w:p>
    <w:p w:rsidR="007F3BF3" w:rsidRPr="006353C6" w:rsidRDefault="007F3BF3" w:rsidP="00F41EE7">
      <w:pPr>
        <w:numPr>
          <w:ilvl w:val="0"/>
          <w:numId w:val="6"/>
        </w:numPr>
        <w:tabs>
          <w:tab w:val="left" w:pos="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Une déclaration sur l’honneur présentée par le soumissionnaire qu’il n’était pas un agent au sein de la société LES CIMENTS DE BIZERTE ou ayant cessé son activité dans la société depuis au moins cinq ans.</w:t>
      </w:r>
    </w:p>
    <w:p w:rsidR="007F3BF3" w:rsidRPr="006353C6" w:rsidRDefault="007F3BF3" w:rsidP="00F41EE7">
      <w:pPr>
        <w:numPr>
          <w:ilvl w:val="0"/>
          <w:numId w:val="6"/>
        </w:numPr>
        <w:tabs>
          <w:tab w:val="right" w:pos="709"/>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 xml:space="preserve">La déclaration sur l’honneur que le soumissionnaire n’est pas frappé des interdictions prévues par la loi N° 2018-46 du 01 Aout 2018 portant déclaration </w:t>
      </w:r>
      <w:r w:rsidRPr="006353C6">
        <w:rPr>
          <w:rFonts w:asciiTheme="majorBidi" w:hAnsiTheme="majorBidi" w:cstheme="majorBidi"/>
          <w:b/>
          <w:bCs/>
          <w:color w:val="000000"/>
          <w:sz w:val="24"/>
          <w:szCs w:val="24"/>
          <w:shd w:val="clear" w:color="auto" w:fill="F5F5F5"/>
        </w:rPr>
        <w:t> </w:t>
      </w:r>
      <w:r w:rsidRPr="006353C6">
        <w:rPr>
          <w:rFonts w:asciiTheme="majorBidi" w:hAnsiTheme="majorBidi" w:cstheme="majorBidi"/>
          <w:sz w:val="24"/>
          <w:szCs w:val="24"/>
        </w:rPr>
        <w:t>des biens et des intérêts, de la lutte contre l'enrichissement illicite et le conflit d'intérêt dans le secteur public (selon modèle annexe du cahier des charges).</w:t>
      </w:r>
    </w:p>
    <w:p w:rsidR="007F3BF3" w:rsidRPr="006353C6" w:rsidRDefault="007F3BF3" w:rsidP="00F41EE7">
      <w:pPr>
        <w:numPr>
          <w:ilvl w:val="0"/>
          <w:numId w:val="6"/>
        </w:numPr>
        <w:tabs>
          <w:tab w:val="left" w:pos="36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Un extrait du registre national des entreprises (actualisé)</w:t>
      </w:r>
    </w:p>
    <w:p w:rsidR="007F3BF3" w:rsidRPr="006353C6" w:rsidRDefault="007F3BF3" w:rsidP="00F41EE7">
      <w:pPr>
        <w:numPr>
          <w:ilvl w:val="0"/>
          <w:numId w:val="6"/>
        </w:numPr>
        <w:tabs>
          <w:tab w:val="left" w:pos="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 xml:space="preserve">Tout document prouvant la qualité et la capacité du signataire de l’offre. </w:t>
      </w:r>
    </w:p>
    <w:p w:rsidR="007F3BF3" w:rsidRPr="006353C6" w:rsidRDefault="007F3BF3" w:rsidP="00F41EE7">
      <w:pPr>
        <w:numPr>
          <w:ilvl w:val="0"/>
          <w:numId w:val="6"/>
        </w:numPr>
        <w:tabs>
          <w:tab w:val="left" w:pos="36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Une fiche de renseignements généraux (selon modèle annexe du cahier des charges).</w:t>
      </w:r>
    </w:p>
    <w:p w:rsidR="007F3BF3" w:rsidRPr="006353C6" w:rsidRDefault="007F3BF3" w:rsidP="00F41EE7">
      <w:pPr>
        <w:tabs>
          <w:tab w:val="num" w:pos="180"/>
        </w:tabs>
        <w:ind w:right="-2" w:firstLine="720"/>
        <w:contextualSpacing/>
        <w:jc w:val="both"/>
        <w:rPr>
          <w:rFonts w:asciiTheme="majorBidi" w:hAnsiTheme="majorBidi" w:cstheme="majorBidi"/>
          <w:sz w:val="24"/>
          <w:szCs w:val="24"/>
        </w:rPr>
      </w:pPr>
      <w:proofErr w:type="gramStart"/>
      <w:r w:rsidRPr="006353C6">
        <w:rPr>
          <w:rFonts w:asciiTheme="majorBidi" w:hAnsiTheme="majorBidi" w:cstheme="majorBidi"/>
          <w:sz w:val="24"/>
          <w:szCs w:val="24"/>
        </w:rPr>
        <w:t>La</w:t>
      </w:r>
      <w:proofErr w:type="gramEnd"/>
      <w:r w:rsidRPr="006353C6">
        <w:rPr>
          <w:rFonts w:asciiTheme="majorBidi" w:hAnsiTheme="majorBidi" w:cstheme="majorBidi"/>
          <w:sz w:val="24"/>
          <w:szCs w:val="24"/>
        </w:rPr>
        <w:t xml:space="preserve"> non présentation de la caution bancaire de soumission constitue un motif de rejet d’office entraînant la restitution de l’offre à son auteur.</w:t>
      </w:r>
    </w:p>
    <w:p w:rsidR="006B2263" w:rsidRPr="008113A0" w:rsidRDefault="006B2263" w:rsidP="00F41EE7">
      <w:pPr>
        <w:ind w:left="1080"/>
        <w:jc w:val="both"/>
        <w:rPr>
          <w:sz w:val="8"/>
          <w:szCs w:val="8"/>
        </w:rPr>
      </w:pPr>
    </w:p>
    <w:p w:rsidR="006B2263" w:rsidRPr="00FA6879" w:rsidRDefault="006B2263" w:rsidP="00F41EE7">
      <w:pPr>
        <w:tabs>
          <w:tab w:val="left" w:pos="426"/>
          <w:tab w:val="left" w:pos="851"/>
          <w:tab w:val="left" w:pos="1134"/>
        </w:tabs>
        <w:spacing w:line="360" w:lineRule="auto"/>
        <w:ind w:left="426" w:right="-2"/>
        <w:jc w:val="both"/>
        <w:rPr>
          <w:b/>
          <w:bCs/>
          <w:sz w:val="24"/>
          <w:szCs w:val="24"/>
        </w:rPr>
      </w:pPr>
      <w:r w:rsidRPr="00FA6879">
        <w:rPr>
          <w:b/>
          <w:bCs/>
          <w:sz w:val="24"/>
          <w:szCs w:val="24"/>
        </w:rPr>
        <w:t>II - Enveloppe contenant l’offre technique :</w:t>
      </w:r>
    </w:p>
    <w:p w:rsidR="006B2263" w:rsidRPr="00FA6879" w:rsidRDefault="006B2263" w:rsidP="00F41EE7">
      <w:pPr>
        <w:tabs>
          <w:tab w:val="left" w:pos="9781"/>
        </w:tabs>
        <w:ind w:firstLine="1080"/>
        <w:jc w:val="both"/>
        <w:rPr>
          <w:sz w:val="24"/>
          <w:szCs w:val="24"/>
        </w:rPr>
      </w:pPr>
      <w:r w:rsidRPr="00FA6879">
        <w:rPr>
          <w:sz w:val="24"/>
          <w:szCs w:val="24"/>
        </w:rPr>
        <w:t>L’offre technique doit comporter  le tableau de conformité technique dument rempli et signé</w:t>
      </w:r>
      <w:r w:rsidRPr="00C15DFE">
        <w:rPr>
          <w:sz w:val="24"/>
          <w:szCs w:val="24"/>
        </w:rPr>
        <w:t xml:space="preserve"> </w:t>
      </w:r>
      <w:r w:rsidRPr="00FA6879">
        <w:rPr>
          <w:sz w:val="24"/>
          <w:szCs w:val="24"/>
        </w:rPr>
        <w:t xml:space="preserve">ainsi </w:t>
      </w:r>
      <w:r>
        <w:rPr>
          <w:sz w:val="24"/>
          <w:szCs w:val="24"/>
        </w:rPr>
        <w:t xml:space="preserve">que </w:t>
      </w:r>
      <w:r w:rsidRPr="00FA6879">
        <w:rPr>
          <w:sz w:val="24"/>
          <w:szCs w:val="24"/>
        </w:rPr>
        <w:t>l</w:t>
      </w:r>
      <w:r>
        <w:rPr>
          <w:sz w:val="24"/>
          <w:szCs w:val="24"/>
        </w:rPr>
        <w:t>’</w:t>
      </w:r>
      <w:r w:rsidRPr="00FA6879">
        <w:rPr>
          <w:sz w:val="24"/>
          <w:szCs w:val="24"/>
        </w:rPr>
        <w:t>engagement</w:t>
      </w:r>
      <w:r>
        <w:rPr>
          <w:sz w:val="24"/>
          <w:szCs w:val="24"/>
        </w:rPr>
        <w:t xml:space="preserve"> demandé</w:t>
      </w:r>
      <w:r w:rsidRPr="00FA6879">
        <w:rPr>
          <w:sz w:val="24"/>
          <w:szCs w:val="24"/>
        </w:rPr>
        <w:t xml:space="preserve"> (</w:t>
      </w:r>
      <w:r>
        <w:rPr>
          <w:sz w:val="24"/>
          <w:szCs w:val="24"/>
        </w:rPr>
        <w:t xml:space="preserve">en </w:t>
      </w:r>
      <w:r w:rsidRPr="00FA6879">
        <w:rPr>
          <w:sz w:val="24"/>
          <w:szCs w:val="24"/>
        </w:rPr>
        <w:t>annexe du cahier des charge</w:t>
      </w:r>
      <w:r>
        <w:rPr>
          <w:sz w:val="24"/>
          <w:szCs w:val="24"/>
        </w:rPr>
        <w:t>s</w:t>
      </w:r>
      <w:r w:rsidRPr="00FA6879">
        <w:rPr>
          <w:sz w:val="24"/>
          <w:szCs w:val="24"/>
        </w:rPr>
        <w:t xml:space="preserve">). </w:t>
      </w:r>
    </w:p>
    <w:p w:rsidR="006B2263" w:rsidRPr="00FA6879" w:rsidRDefault="006B2263" w:rsidP="00F41EE7">
      <w:pPr>
        <w:tabs>
          <w:tab w:val="left" w:pos="9781"/>
          <w:tab w:val="right" w:pos="10262"/>
        </w:tabs>
        <w:jc w:val="both"/>
        <w:rPr>
          <w:sz w:val="24"/>
          <w:szCs w:val="24"/>
        </w:rPr>
      </w:pPr>
      <w:r w:rsidRPr="00FA6879">
        <w:rPr>
          <w:sz w:val="24"/>
          <w:szCs w:val="24"/>
        </w:rPr>
        <w:t>Ces documents doivent comporter la signature et le cachet du  soumissionnaire.</w:t>
      </w:r>
      <w:r w:rsidRPr="00FA6879">
        <w:rPr>
          <w:sz w:val="24"/>
          <w:szCs w:val="24"/>
        </w:rPr>
        <w:tab/>
      </w:r>
    </w:p>
    <w:p w:rsidR="006B2263" w:rsidRPr="007F3BF3" w:rsidRDefault="006B2263" w:rsidP="00F41EE7">
      <w:pPr>
        <w:tabs>
          <w:tab w:val="left" w:pos="142"/>
          <w:tab w:val="left" w:pos="1134"/>
          <w:tab w:val="left" w:pos="1418"/>
        </w:tabs>
        <w:ind w:right="1" w:firstLine="426"/>
        <w:jc w:val="both"/>
        <w:rPr>
          <w:b/>
          <w:bCs/>
          <w:sz w:val="12"/>
          <w:szCs w:val="12"/>
        </w:rPr>
      </w:pPr>
    </w:p>
    <w:p w:rsidR="006B2263" w:rsidRPr="0048521A" w:rsidRDefault="006B2263" w:rsidP="00F41EE7">
      <w:pPr>
        <w:tabs>
          <w:tab w:val="left" w:pos="142"/>
          <w:tab w:val="left" w:pos="1134"/>
          <w:tab w:val="left" w:pos="1418"/>
        </w:tabs>
        <w:ind w:right="1" w:firstLine="426"/>
        <w:jc w:val="both"/>
        <w:rPr>
          <w:b/>
          <w:bCs/>
          <w:sz w:val="24"/>
          <w:szCs w:val="24"/>
        </w:rPr>
      </w:pPr>
      <w:r w:rsidRPr="0048521A">
        <w:rPr>
          <w:b/>
          <w:bCs/>
          <w:sz w:val="24"/>
          <w:szCs w:val="24"/>
        </w:rPr>
        <w:t>III- Enveloppe contenant l’offre financière :</w:t>
      </w:r>
    </w:p>
    <w:p w:rsidR="006B2263" w:rsidRPr="001132F4" w:rsidRDefault="006B2263" w:rsidP="00F41EE7">
      <w:pPr>
        <w:tabs>
          <w:tab w:val="num" w:pos="1440"/>
        </w:tabs>
        <w:ind w:right="-182" w:firstLine="1080"/>
        <w:jc w:val="both"/>
        <w:rPr>
          <w:sz w:val="6"/>
          <w:szCs w:val="6"/>
        </w:rPr>
      </w:pPr>
    </w:p>
    <w:p w:rsidR="006B2263" w:rsidRPr="0048521A" w:rsidRDefault="006B2263" w:rsidP="00F41EE7">
      <w:pPr>
        <w:tabs>
          <w:tab w:val="num" w:pos="1440"/>
        </w:tabs>
        <w:ind w:right="-182" w:firstLine="1080"/>
        <w:jc w:val="both"/>
        <w:rPr>
          <w:sz w:val="24"/>
          <w:szCs w:val="24"/>
        </w:rPr>
      </w:pPr>
      <w:r w:rsidRPr="0048521A">
        <w:rPr>
          <w:sz w:val="24"/>
          <w:szCs w:val="24"/>
        </w:rPr>
        <w:t>L’offre Financière doit comporter :</w:t>
      </w:r>
    </w:p>
    <w:p w:rsidR="006B2263" w:rsidRPr="0048521A" w:rsidRDefault="006B2263" w:rsidP="00F41EE7">
      <w:pPr>
        <w:numPr>
          <w:ilvl w:val="0"/>
          <w:numId w:val="3"/>
        </w:numPr>
        <w:tabs>
          <w:tab w:val="clear" w:pos="1569"/>
          <w:tab w:val="left" w:pos="1134"/>
          <w:tab w:val="left" w:pos="10206"/>
        </w:tabs>
        <w:ind w:left="0" w:right="515" w:firstLine="993"/>
        <w:jc w:val="both"/>
        <w:rPr>
          <w:sz w:val="24"/>
          <w:szCs w:val="24"/>
        </w:rPr>
      </w:pPr>
      <w:r w:rsidRPr="0048521A">
        <w:rPr>
          <w:sz w:val="24"/>
          <w:szCs w:val="24"/>
        </w:rPr>
        <w:t xml:space="preserve">La </w:t>
      </w:r>
      <w:r w:rsidRPr="0048521A">
        <w:rPr>
          <w:color w:val="000000"/>
          <w:sz w:val="24"/>
          <w:szCs w:val="24"/>
        </w:rPr>
        <w:t xml:space="preserve">soumission selon modèle </w:t>
      </w:r>
      <w:r w:rsidRPr="0048521A">
        <w:rPr>
          <w:sz w:val="24"/>
          <w:szCs w:val="24"/>
        </w:rPr>
        <w:t>en annexe du cahier des charges</w:t>
      </w:r>
      <w:r w:rsidRPr="0048521A">
        <w:rPr>
          <w:color w:val="000000"/>
          <w:sz w:val="24"/>
          <w:szCs w:val="24"/>
        </w:rPr>
        <w:t>.</w:t>
      </w:r>
      <w:r w:rsidRPr="0048521A">
        <w:rPr>
          <w:sz w:val="24"/>
          <w:szCs w:val="24"/>
        </w:rPr>
        <w:t xml:space="preserve"> </w:t>
      </w:r>
    </w:p>
    <w:p w:rsidR="006B2263" w:rsidRDefault="006B2263" w:rsidP="00F41EE7">
      <w:pPr>
        <w:numPr>
          <w:ilvl w:val="0"/>
          <w:numId w:val="3"/>
        </w:numPr>
        <w:tabs>
          <w:tab w:val="clear" w:pos="1569"/>
          <w:tab w:val="left" w:pos="1134"/>
          <w:tab w:val="left" w:pos="10206"/>
        </w:tabs>
        <w:ind w:left="0" w:right="-288" w:firstLine="993"/>
        <w:jc w:val="both"/>
        <w:rPr>
          <w:sz w:val="24"/>
          <w:szCs w:val="24"/>
        </w:rPr>
      </w:pPr>
      <w:r>
        <w:rPr>
          <w:sz w:val="24"/>
          <w:szCs w:val="24"/>
        </w:rPr>
        <w:t xml:space="preserve">Le bordereau des prix </w:t>
      </w:r>
      <w:r w:rsidRPr="0048521A">
        <w:rPr>
          <w:color w:val="000000"/>
          <w:sz w:val="24"/>
          <w:szCs w:val="24"/>
        </w:rPr>
        <w:t xml:space="preserve">selon modèle </w:t>
      </w:r>
      <w:r w:rsidRPr="0048521A">
        <w:rPr>
          <w:sz w:val="24"/>
          <w:szCs w:val="24"/>
        </w:rPr>
        <w:t>en annexe</w:t>
      </w:r>
      <w:r>
        <w:rPr>
          <w:sz w:val="24"/>
          <w:szCs w:val="24"/>
        </w:rPr>
        <w:t xml:space="preserve"> du cahier des charges. </w:t>
      </w:r>
    </w:p>
    <w:p w:rsidR="00C22D98" w:rsidRPr="00C22D98" w:rsidRDefault="00C22D98" w:rsidP="00F41EE7">
      <w:pPr>
        <w:pStyle w:val="Corpsdetexte"/>
        <w:spacing w:after="0"/>
        <w:jc w:val="both"/>
        <w:rPr>
          <w:rFonts w:asciiTheme="majorBidi" w:hAnsiTheme="majorBidi" w:cstheme="majorBidi"/>
          <w:sz w:val="4"/>
          <w:szCs w:val="4"/>
        </w:rPr>
      </w:pPr>
    </w:p>
    <w:p w:rsidR="00C22D98" w:rsidRPr="00FB2830" w:rsidRDefault="00C22D98" w:rsidP="000C6F12">
      <w:pPr>
        <w:pStyle w:val="Corpsdetexte"/>
        <w:spacing w:after="0"/>
        <w:jc w:val="both"/>
        <w:rPr>
          <w:sz w:val="24"/>
          <w:szCs w:val="24"/>
        </w:rPr>
      </w:pPr>
      <w:r>
        <w:rPr>
          <w:rFonts w:asciiTheme="majorBidi" w:hAnsiTheme="majorBidi" w:cstheme="majorBidi"/>
          <w:sz w:val="24"/>
          <w:szCs w:val="24"/>
        </w:rPr>
        <w:t xml:space="preserve">                 </w:t>
      </w:r>
      <w:r w:rsidRPr="00961F49">
        <w:rPr>
          <w:rFonts w:asciiTheme="majorBidi" w:hAnsiTheme="majorBidi" w:cstheme="majorBidi"/>
          <w:sz w:val="24"/>
          <w:szCs w:val="24"/>
        </w:rPr>
        <w:t xml:space="preserve">Le pli comportant l’offre administrative, l’offre technique et financière doit être déposée directement au bureau d’ordre central sis à l’administration de la société Les Ciment de Bizerte rue Habib </w:t>
      </w:r>
      <w:proofErr w:type="spellStart"/>
      <w:r w:rsidRPr="00961F49">
        <w:rPr>
          <w:rFonts w:asciiTheme="majorBidi" w:hAnsiTheme="majorBidi" w:cstheme="majorBidi"/>
          <w:sz w:val="24"/>
          <w:szCs w:val="24"/>
        </w:rPr>
        <w:t>Thameur</w:t>
      </w:r>
      <w:proofErr w:type="spellEnd"/>
      <w:r w:rsidRPr="00961F49">
        <w:rPr>
          <w:rFonts w:asciiTheme="majorBidi" w:hAnsiTheme="majorBidi" w:cstheme="majorBidi"/>
          <w:sz w:val="24"/>
          <w:szCs w:val="24"/>
        </w:rPr>
        <w:t xml:space="preserve"> Bizerte  contre décharge ou envoyée par la poste recommandé ou par </w:t>
      </w:r>
      <w:proofErr w:type="spellStart"/>
      <w:r w:rsidRPr="00961F49">
        <w:rPr>
          <w:rFonts w:asciiTheme="majorBidi" w:hAnsiTheme="majorBidi" w:cstheme="majorBidi"/>
          <w:sz w:val="24"/>
          <w:szCs w:val="24"/>
        </w:rPr>
        <w:t>rapid</w:t>
      </w:r>
      <w:proofErr w:type="spellEnd"/>
      <w:r w:rsidRPr="00961F49">
        <w:rPr>
          <w:rFonts w:asciiTheme="majorBidi" w:hAnsiTheme="majorBidi" w:cstheme="majorBidi"/>
          <w:sz w:val="24"/>
          <w:szCs w:val="24"/>
        </w:rPr>
        <w:t xml:space="preserve"> poste à l’adresse de la société Les Ciments de Bize</w:t>
      </w:r>
      <w:r>
        <w:rPr>
          <w:rFonts w:asciiTheme="majorBidi" w:hAnsiTheme="majorBidi" w:cstheme="majorBidi"/>
          <w:sz w:val="24"/>
          <w:szCs w:val="24"/>
        </w:rPr>
        <w:t xml:space="preserve">rte, B.P. n° 53 – 7018 Bizerte </w:t>
      </w:r>
      <w:r w:rsidRPr="00D226C9">
        <w:rPr>
          <w:sz w:val="24"/>
          <w:szCs w:val="24"/>
        </w:rPr>
        <w:t xml:space="preserve">au plus tard le </w:t>
      </w:r>
      <w:r w:rsidR="000C6F12">
        <w:rPr>
          <w:b/>
          <w:bCs/>
          <w:sz w:val="24"/>
          <w:szCs w:val="24"/>
        </w:rPr>
        <w:t>16</w:t>
      </w:r>
      <w:r w:rsidRPr="002C10C9">
        <w:rPr>
          <w:b/>
          <w:bCs/>
          <w:sz w:val="24"/>
          <w:szCs w:val="24"/>
        </w:rPr>
        <w:t>/</w:t>
      </w:r>
      <w:r>
        <w:rPr>
          <w:b/>
          <w:bCs/>
          <w:sz w:val="24"/>
          <w:szCs w:val="24"/>
        </w:rPr>
        <w:t>05</w:t>
      </w:r>
      <w:r w:rsidRPr="002C10C9">
        <w:rPr>
          <w:b/>
          <w:bCs/>
          <w:sz w:val="24"/>
          <w:szCs w:val="24"/>
        </w:rPr>
        <w:t>/</w:t>
      </w:r>
      <w:r>
        <w:rPr>
          <w:b/>
          <w:bCs/>
          <w:sz w:val="24"/>
          <w:szCs w:val="24"/>
        </w:rPr>
        <w:t>2022</w:t>
      </w:r>
      <w:r w:rsidRPr="002C10C9">
        <w:rPr>
          <w:b/>
          <w:bCs/>
          <w:sz w:val="24"/>
          <w:szCs w:val="24"/>
        </w:rPr>
        <w:t xml:space="preserve"> à </w:t>
      </w:r>
      <w:r>
        <w:rPr>
          <w:b/>
          <w:bCs/>
          <w:sz w:val="24"/>
          <w:szCs w:val="24"/>
        </w:rPr>
        <w:t>9</w:t>
      </w:r>
      <w:r w:rsidRPr="002C10C9">
        <w:rPr>
          <w:b/>
          <w:bCs/>
          <w:sz w:val="24"/>
          <w:szCs w:val="24"/>
        </w:rPr>
        <w:t>H.</w:t>
      </w:r>
      <w:r>
        <w:rPr>
          <w:b/>
          <w:bCs/>
          <w:sz w:val="24"/>
          <w:szCs w:val="24"/>
        </w:rPr>
        <w:t>3</w:t>
      </w:r>
      <w:r w:rsidRPr="002C10C9">
        <w:rPr>
          <w:b/>
          <w:bCs/>
          <w:sz w:val="24"/>
          <w:szCs w:val="24"/>
        </w:rPr>
        <w:t>0</w:t>
      </w:r>
      <w:r>
        <w:rPr>
          <w:sz w:val="24"/>
          <w:szCs w:val="24"/>
        </w:rPr>
        <w:t>.Le cachet de notre bureau d’ordre central faisant foi pour la date d’acceptation des offres.</w:t>
      </w:r>
    </w:p>
    <w:p w:rsidR="006B2263" w:rsidRPr="000B5C0A" w:rsidRDefault="006B2263" w:rsidP="00F41EE7">
      <w:pPr>
        <w:tabs>
          <w:tab w:val="left" w:pos="1134"/>
          <w:tab w:val="left" w:pos="10206"/>
        </w:tabs>
        <w:ind w:left="993" w:right="-288"/>
        <w:jc w:val="both"/>
        <w:rPr>
          <w:sz w:val="6"/>
          <w:szCs w:val="6"/>
        </w:rPr>
      </w:pPr>
    </w:p>
    <w:p w:rsidR="007F3BF3" w:rsidRPr="006353C6" w:rsidRDefault="006B2263" w:rsidP="00077BF1">
      <w:pPr>
        <w:tabs>
          <w:tab w:val="left" w:pos="709"/>
        </w:tabs>
        <w:contextualSpacing/>
        <w:jc w:val="both"/>
        <w:rPr>
          <w:rFonts w:asciiTheme="majorBidi" w:hAnsiTheme="majorBidi" w:cstheme="majorBidi"/>
          <w:color w:val="000000"/>
          <w:sz w:val="24"/>
          <w:szCs w:val="24"/>
        </w:rPr>
      </w:pPr>
      <w:r w:rsidRPr="0048521A">
        <w:rPr>
          <w:sz w:val="24"/>
          <w:szCs w:val="24"/>
        </w:rPr>
        <w:t xml:space="preserve">Les soumissionnaires resteront engagés par leurs offres 60 jours </w:t>
      </w:r>
      <w:r w:rsidR="007F3BF3" w:rsidRPr="006353C6">
        <w:rPr>
          <w:rFonts w:asciiTheme="majorBidi" w:hAnsiTheme="majorBidi" w:cstheme="majorBidi"/>
          <w:color w:val="000000"/>
          <w:sz w:val="24"/>
          <w:szCs w:val="24"/>
        </w:rPr>
        <w:t xml:space="preserve">à compter du </w:t>
      </w:r>
      <w:r w:rsidR="00077BF1">
        <w:rPr>
          <w:rFonts w:asciiTheme="majorBidi" w:hAnsiTheme="majorBidi" w:cstheme="majorBidi"/>
          <w:color w:val="000000"/>
          <w:sz w:val="24"/>
          <w:szCs w:val="24"/>
        </w:rPr>
        <w:t xml:space="preserve">jour suivant la date </w:t>
      </w:r>
      <w:r w:rsidR="007F3BF3" w:rsidRPr="006353C6">
        <w:rPr>
          <w:rFonts w:asciiTheme="majorBidi" w:hAnsiTheme="majorBidi" w:cstheme="majorBidi"/>
          <w:color w:val="000000"/>
          <w:sz w:val="24"/>
          <w:szCs w:val="24"/>
        </w:rPr>
        <w:t>limite de réception des offres.</w:t>
      </w:r>
    </w:p>
    <w:p w:rsidR="00295076" w:rsidRDefault="00295076">
      <w:pPr>
        <w:rPr>
          <w:rtl/>
        </w:rPr>
      </w:pPr>
    </w:p>
    <w:sectPr w:rsidR="00295076" w:rsidSect="00C22D98">
      <w:pgSz w:w="12240" w:h="15840"/>
      <w:pgMar w:top="1276" w:right="1325"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D82"/>
    <w:multiLevelType w:val="hybridMultilevel"/>
    <w:tmpl w:val="3EFA8692"/>
    <w:lvl w:ilvl="0" w:tplc="EBEA2350">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1D021F9D"/>
    <w:multiLevelType w:val="singleLevel"/>
    <w:tmpl w:val="FD70799A"/>
    <w:lvl w:ilvl="0">
      <w:numFmt w:val="bullet"/>
      <w:lvlText w:val="-"/>
      <w:lvlJc w:val="left"/>
      <w:pPr>
        <w:tabs>
          <w:tab w:val="num" w:pos="1569"/>
        </w:tabs>
        <w:ind w:left="1569" w:hanging="360"/>
      </w:pPr>
    </w:lvl>
  </w:abstractNum>
  <w:abstractNum w:abstractNumId="2">
    <w:nsid w:val="251010DF"/>
    <w:multiLevelType w:val="hybridMultilevel"/>
    <w:tmpl w:val="D77076AE"/>
    <w:lvl w:ilvl="0" w:tplc="63064AEC">
      <w:start w:val="1"/>
      <w:numFmt w:val="decimal"/>
      <w:lvlText w:val="%1-"/>
      <w:lvlJc w:val="left"/>
      <w:pPr>
        <w:tabs>
          <w:tab w:val="num" w:pos="1800"/>
        </w:tabs>
        <w:ind w:left="1800" w:hanging="360"/>
      </w:pPr>
      <w:rPr>
        <w:rFonts w:ascii="Times New Roman" w:eastAsia="Times New Roman" w:hAnsi="Times New Roman" w:cs="Times New Roman"/>
      </w:rPr>
    </w:lvl>
    <w:lvl w:ilvl="1" w:tplc="040C0001">
      <w:start w:val="1"/>
      <w:numFmt w:val="bullet"/>
      <w:lvlText w:val=""/>
      <w:lvlJc w:val="left"/>
      <w:pPr>
        <w:tabs>
          <w:tab w:val="num" w:pos="2520"/>
        </w:tabs>
        <w:ind w:left="2520" w:hanging="360"/>
      </w:pPr>
      <w:rPr>
        <w:rFonts w:ascii="Symbol" w:hAnsi="Symbol" w:hint="default"/>
      </w:rPr>
    </w:lvl>
    <w:lvl w:ilvl="2" w:tplc="8F0C3468">
      <w:start w:val="8"/>
      <w:numFmt w:val="bullet"/>
      <w:lvlText w:val="-"/>
      <w:lvlJc w:val="left"/>
      <w:pPr>
        <w:tabs>
          <w:tab w:val="num" w:pos="4305"/>
        </w:tabs>
        <w:ind w:left="4305" w:hanging="1245"/>
      </w:pPr>
      <w:rPr>
        <w:rFonts w:ascii="Times New Roman" w:eastAsia="Times New Roman" w:hAnsi="Times New Roman" w:cs="Times New Roman" w:hint="default"/>
      </w:r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3">
    <w:nsid w:val="30D234DA"/>
    <w:multiLevelType w:val="hybridMultilevel"/>
    <w:tmpl w:val="6246A0DA"/>
    <w:lvl w:ilvl="0" w:tplc="40486104">
      <w:start w:val="1"/>
      <w:numFmt w:val="lowerRoman"/>
      <w:lvlText w:val="%1)"/>
      <w:lvlJc w:val="left"/>
      <w:pPr>
        <w:ind w:left="1080" w:hanging="72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237019"/>
    <w:multiLevelType w:val="hybridMultilevel"/>
    <w:tmpl w:val="7C7AF6F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B490C2E"/>
    <w:multiLevelType w:val="hybridMultilevel"/>
    <w:tmpl w:val="86EC77C6"/>
    <w:lvl w:ilvl="0" w:tplc="2230DC36">
      <w:start w:val="1"/>
      <w:numFmt w:val="bullet"/>
      <w:lvlText w:val="-"/>
      <w:lvlJc w:val="left"/>
      <w:pPr>
        <w:tabs>
          <w:tab w:val="num" w:pos="1437"/>
        </w:tabs>
        <w:ind w:left="1437" w:hanging="360"/>
      </w:pPr>
      <w:rPr>
        <w:rFonts w:ascii="Times New Roman" w:eastAsia="Times New Roman" w:hAnsi="Times New Roman" w:cs="Times New Roman" w:hint="default"/>
      </w:rPr>
    </w:lvl>
    <w:lvl w:ilvl="1" w:tplc="040C0003" w:tentative="1">
      <w:start w:val="1"/>
      <w:numFmt w:val="bullet"/>
      <w:lvlText w:val="o"/>
      <w:lvlJc w:val="left"/>
      <w:pPr>
        <w:tabs>
          <w:tab w:val="num" w:pos="2157"/>
        </w:tabs>
        <w:ind w:left="2157" w:hanging="360"/>
      </w:pPr>
      <w:rPr>
        <w:rFonts w:ascii="Courier New" w:hAnsi="Courier New" w:cs="Courier New" w:hint="default"/>
      </w:rPr>
    </w:lvl>
    <w:lvl w:ilvl="2" w:tplc="040C0005" w:tentative="1">
      <w:start w:val="1"/>
      <w:numFmt w:val="bullet"/>
      <w:lvlText w:val=""/>
      <w:lvlJc w:val="left"/>
      <w:pPr>
        <w:tabs>
          <w:tab w:val="num" w:pos="2877"/>
        </w:tabs>
        <w:ind w:left="2877" w:hanging="360"/>
      </w:pPr>
      <w:rPr>
        <w:rFonts w:ascii="Wingdings" w:hAnsi="Wingdings" w:hint="default"/>
      </w:rPr>
    </w:lvl>
    <w:lvl w:ilvl="3" w:tplc="040C0001" w:tentative="1">
      <w:start w:val="1"/>
      <w:numFmt w:val="bullet"/>
      <w:lvlText w:val=""/>
      <w:lvlJc w:val="left"/>
      <w:pPr>
        <w:tabs>
          <w:tab w:val="num" w:pos="3597"/>
        </w:tabs>
        <w:ind w:left="3597" w:hanging="360"/>
      </w:pPr>
      <w:rPr>
        <w:rFonts w:ascii="Symbol" w:hAnsi="Symbol" w:hint="default"/>
      </w:rPr>
    </w:lvl>
    <w:lvl w:ilvl="4" w:tplc="040C0003" w:tentative="1">
      <w:start w:val="1"/>
      <w:numFmt w:val="bullet"/>
      <w:lvlText w:val="o"/>
      <w:lvlJc w:val="left"/>
      <w:pPr>
        <w:tabs>
          <w:tab w:val="num" w:pos="4317"/>
        </w:tabs>
        <w:ind w:left="4317" w:hanging="360"/>
      </w:pPr>
      <w:rPr>
        <w:rFonts w:ascii="Courier New" w:hAnsi="Courier New" w:cs="Courier New" w:hint="default"/>
      </w:rPr>
    </w:lvl>
    <w:lvl w:ilvl="5" w:tplc="040C0005" w:tentative="1">
      <w:start w:val="1"/>
      <w:numFmt w:val="bullet"/>
      <w:lvlText w:val=""/>
      <w:lvlJc w:val="left"/>
      <w:pPr>
        <w:tabs>
          <w:tab w:val="num" w:pos="5037"/>
        </w:tabs>
        <w:ind w:left="5037" w:hanging="360"/>
      </w:pPr>
      <w:rPr>
        <w:rFonts w:ascii="Wingdings" w:hAnsi="Wingdings" w:hint="default"/>
      </w:rPr>
    </w:lvl>
    <w:lvl w:ilvl="6" w:tplc="040C0001" w:tentative="1">
      <w:start w:val="1"/>
      <w:numFmt w:val="bullet"/>
      <w:lvlText w:val=""/>
      <w:lvlJc w:val="left"/>
      <w:pPr>
        <w:tabs>
          <w:tab w:val="num" w:pos="5757"/>
        </w:tabs>
        <w:ind w:left="5757" w:hanging="360"/>
      </w:pPr>
      <w:rPr>
        <w:rFonts w:ascii="Symbol" w:hAnsi="Symbol" w:hint="default"/>
      </w:rPr>
    </w:lvl>
    <w:lvl w:ilvl="7" w:tplc="040C0003" w:tentative="1">
      <w:start w:val="1"/>
      <w:numFmt w:val="bullet"/>
      <w:lvlText w:val="o"/>
      <w:lvlJc w:val="left"/>
      <w:pPr>
        <w:tabs>
          <w:tab w:val="num" w:pos="6477"/>
        </w:tabs>
        <w:ind w:left="6477" w:hanging="360"/>
      </w:pPr>
      <w:rPr>
        <w:rFonts w:ascii="Courier New" w:hAnsi="Courier New" w:cs="Courier New" w:hint="default"/>
      </w:rPr>
    </w:lvl>
    <w:lvl w:ilvl="8" w:tplc="040C0005" w:tentative="1">
      <w:start w:val="1"/>
      <w:numFmt w:val="bullet"/>
      <w:lvlText w:val=""/>
      <w:lvlJc w:val="left"/>
      <w:pPr>
        <w:tabs>
          <w:tab w:val="num" w:pos="7197"/>
        </w:tabs>
        <w:ind w:left="7197" w:hanging="360"/>
      </w:pPr>
      <w:rPr>
        <w:rFonts w:ascii="Wingdings" w:hAnsi="Wingdings" w:hint="default"/>
      </w:rPr>
    </w:lvl>
  </w:abstractNum>
  <w:abstractNum w:abstractNumId="6">
    <w:nsid w:val="6EB3089B"/>
    <w:multiLevelType w:val="hybridMultilevel"/>
    <w:tmpl w:val="40160E56"/>
    <w:lvl w:ilvl="0" w:tplc="6DCA421C">
      <w:start w:val="1"/>
      <w:numFmt w:val="upperRoman"/>
      <w:lvlText w:val="%1)"/>
      <w:lvlJc w:val="left"/>
      <w:pPr>
        <w:ind w:left="1288" w:hanging="720"/>
      </w:pPr>
      <w:rPr>
        <w:rFonts w:ascii="Calibri" w:eastAsia="Calibri" w:hAnsi="Calibri" w:cs="Arial"/>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71FE66AF"/>
    <w:multiLevelType w:val="hybridMultilevel"/>
    <w:tmpl w:val="073607A4"/>
    <w:lvl w:ilvl="0" w:tplc="E6B09560">
      <w:start w:val="1"/>
      <w:numFmt w:val="upperRoman"/>
      <w:lvlText w:val="%1)"/>
      <w:lvlJc w:val="left"/>
      <w:pPr>
        <w:ind w:left="1080" w:hanging="72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B2263"/>
    <w:rsid w:val="000045F5"/>
    <w:rsid w:val="00061497"/>
    <w:rsid w:val="00077BF1"/>
    <w:rsid w:val="000B5C0A"/>
    <w:rsid w:val="000C6F12"/>
    <w:rsid w:val="00295076"/>
    <w:rsid w:val="002C24B8"/>
    <w:rsid w:val="003B5805"/>
    <w:rsid w:val="00412AD1"/>
    <w:rsid w:val="004362CC"/>
    <w:rsid w:val="004638DF"/>
    <w:rsid w:val="004B59D8"/>
    <w:rsid w:val="004F6810"/>
    <w:rsid w:val="005435F8"/>
    <w:rsid w:val="005E5DEC"/>
    <w:rsid w:val="006B2263"/>
    <w:rsid w:val="006B3BEA"/>
    <w:rsid w:val="006F6F3F"/>
    <w:rsid w:val="007067CB"/>
    <w:rsid w:val="00731B0D"/>
    <w:rsid w:val="007578C2"/>
    <w:rsid w:val="007F3BF3"/>
    <w:rsid w:val="00822234"/>
    <w:rsid w:val="00902473"/>
    <w:rsid w:val="009126E6"/>
    <w:rsid w:val="009202D5"/>
    <w:rsid w:val="00972EC6"/>
    <w:rsid w:val="009A60A3"/>
    <w:rsid w:val="00A97931"/>
    <w:rsid w:val="00BD7298"/>
    <w:rsid w:val="00C000AE"/>
    <w:rsid w:val="00C11ED6"/>
    <w:rsid w:val="00C22D98"/>
    <w:rsid w:val="00E20F3D"/>
    <w:rsid w:val="00EC2519"/>
    <w:rsid w:val="00F41EE7"/>
    <w:rsid w:val="00F72017"/>
    <w:rsid w:val="00F963CD"/>
    <w:rsid w:val="00FF3F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63"/>
    <w:pPr>
      <w:jc w:val="left"/>
    </w:pPr>
    <w:rPr>
      <w:rFonts w:eastAsia="Times New Roman"/>
      <w:sz w:val="20"/>
      <w:szCs w:val="20"/>
      <w:lang w:val="fr-FR" w:eastAsia="fr-FR"/>
    </w:rPr>
  </w:style>
  <w:style w:type="paragraph" w:styleId="Titre1">
    <w:name w:val="heading 1"/>
    <w:basedOn w:val="Normal"/>
    <w:next w:val="Normal"/>
    <w:link w:val="Titre1Car"/>
    <w:qFormat/>
    <w:rsid w:val="006B2263"/>
    <w:pPr>
      <w:keepNext/>
      <w:spacing w:before="120"/>
      <w:ind w:left="340" w:right="340" w:firstLine="709"/>
      <w:jc w:val="both"/>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B2263"/>
    <w:rPr>
      <w:rFonts w:eastAsia="Times New Roman"/>
      <w:sz w:val="24"/>
      <w:szCs w:val="20"/>
      <w:lang w:val="fr-FR" w:eastAsia="fr-FR"/>
    </w:rPr>
  </w:style>
  <w:style w:type="paragraph" w:styleId="Retraitcorpsdetexte">
    <w:name w:val="Body Text Indent"/>
    <w:basedOn w:val="Normal"/>
    <w:link w:val="RetraitcorpsdetexteCar"/>
    <w:uiPriority w:val="99"/>
    <w:rsid w:val="006B2263"/>
    <w:pPr>
      <w:spacing w:after="120"/>
      <w:ind w:left="283"/>
    </w:pPr>
  </w:style>
  <w:style w:type="character" w:customStyle="1" w:styleId="RetraitcorpsdetexteCar">
    <w:name w:val="Retrait corps de texte Car"/>
    <w:basedOn w:val="Policepardfaut"/>
    <w:link w:val="Retraitcorpsdetexte"/>
    <w:uiPriority w:val="99"/>
    <w:rsid w:val="006B2263"/>
    <w:rPr>
      <w:rFonts w:eastAsia="Times New Roman"/>
      <w:sz w:val="20"/>
      <w:szCs w:val="20"/>
      <w:lang w:val="fr-FR" w:eastAsia="fr-FR"/>
    </w:rPr>
  </w:style>
  <w:style w:type="paragraph" w:styleId="Retraitcorpsdetexte3">
    <w:name w:val="Body Text Indent 3"/>
    <w:basedOn w:val="Normal"/>
    <w:link w:val="Retraitcorpsdetexte3Car"/>
    <w:uiPriority w:val="99"/>
    <w:semiHidden/>
    <w:unhideWhenUsed/>
    <w:rsid w:val="0029507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95076"/>
    <w:rPr>
      <w:rFonts w:eastAsia="Times New Roman"/>
      <w:sz w:val="16"/>
      <w:szCs w:val="16"/>
      <w:lang w:val="fr-FR" w:eastAsia="fr-FR"/>
    </w:rPr>
  </w:style>
  <w:style w:type="paragraph" w:styleId="Corpsdetexte">
    <w:name w:val="Body Text"/>
    <w:basedOn w:val="Normal"/>
    <w:link w:val="CorpsdetexteCar"/>
    <w:uiPriority w:val="99"/>
    <w:rsid w:val="00295076"/>
    <w:pPr>
      <w:spacing w:after="120"/>
    </w:pPr>
  </w:style>
  <w:style w:type="character" w:customStyle="1" w:styleId="CorpsdetexteCar">
    <w:name w:val="Corps de texte Car"/>
    <w:basedOn w:val="Policepardfaut"/>
    <w:link w:val="Corpsdetexte"/>
    <w:uiPriority w:val="99"/>
    <w:rsid w:val="00295076"/>
    <w:rPr>
      <w:rFonts w:eastAsia="Times New Roman"/>
      <w:sz w:val="20"/>
      <w:szCs w:val="20"/>
      <w:lang w:val="fr-FR" w:eastAsia="fr-FR"/>
    </w:rPr>
  </w:style>
  <w:style w:type="paragraph" w:styleId="Paragraphedeliste">
    <w:name w:val="List Paragraph"/>
    <w:basedOn w:val="Normal"/>
    <w:uiPriority w:val="99"/>
    <w:qFormat/>
    <w:rsid w:val="00295076"/>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492A0-2FD2-4E90-A8FF-64EC876C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715</Words>
  <Characters>4077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tounsik</dc:creator>
  <cp:keywords/>
  <dc:description/>
  <cp:lastModifiedBy>tounsik</cp:lastModifiedBy>
  <cp:revision>53</cp:revision>
  <cp:lastPrinted>2022-04-20T09:07:00Z</cp:lastPrinted>
  <dcterms:created xsi:type="dcterms:W3CDTF">2020-05-18T12:35:00Z</dcterms:created>
  <dcterms:modified xsi:type="dcterms:W3CDTF">2022-04-20T09:25:00Z</dcterms:modified>
</cp:coreProperties>
</file>